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CEFB0" w14:textId="7F9997D8" w:rsidR="00243315" w:rsidRDefault="00517B1C" w:rsidP="008D6650">
      <w:pPr>
        <w:jc w:val="both"/>
      </w:pPr>
      <w:r>
        <w:rPr>
          <w:noProof/>
        </w:rPr>
        <mc:AlternateContent>
          <mc:Choice Requires="wps">
            <w:drawing>
              <wp:anchor distT="0" distB="0" distL="114300" distR="114300" simplePos="0" relativeHeight="251667456" behindDoc="1" locked="0" layoutInCell="1" allowOverlap="1" wp14:anchorId="1C7F7970" wp14:editId="69A0BE91">
                <wp:simplePos x="0" y="0"/>
                <wp:positionH relativeFrom="column">
                  <wp:posOffset>4413465</wp:posOffset>
                </wp:positionH>
                <wp:positionV relativeFrom="paragraph">
                  <wp:posOffset>-475335</wp:posOffset>
                </wp:positionV>
                <wp:extent cx="1374775" cy="1403985"/>
                <wp:effectExtent l="0" t="0" r="0" b="0"/>
                <wp:wrapThrough wrapText="bothSides">
                  <wp:wrapPolygon edited="0">
                    <wp:start x="0" y="0"/>
                    <wp:lineTo x="0" y="20402"/>
                    <wp:lineTo x="21251" y="20402"/>
                    <wp:lineTo x="21251" y="0"/>
                    <wp:lineTo x="0" y="0"/>
                  </wp:wrapPolygon>
                </wp:wrapThrough>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403985"/>
                        </a:xfrm>
                        <a:prstGeom prst="rect">
                          <a:avLst/>
                        </a:prstGeom>
                        <a:solidFill>
                          <a:srgbClr val="FFFFFF"/>
                        </a:solidFill>
                        <a:ln w="9525">
                          <a:noFill/>
                          <a:miter lim="800000"/>
                          <a:headEnd/>
                          <a:tailEnd/>
                        </a:ln>
                      </wps:spPr>
                      <wps:txbx>
                        <w:txbxContent>
                          <w:p w14:paraId="45E331EB" w14:textId="71832FFB" w:rsidR="00AB530C" w:rsidRPr="00517B1C" w:rsidRDefault="00AB530C">
                            <w:pPr>
                              <w:rPr>
                                <w:color w:val="A6A6A6" w:themeColor="background1" w:themeShade="A6"/>
                              </w:rPr>
                            </w:pPr>
                            <w:r w:rsidRPr="00517B1C">
                              <w:rPr>
                                <w:color w:val="A6A6A6" w:themeColor="background1" w:themeShade="A6"/>
                              </w:rPr>
                              <w:t>LOGO  partenaire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47.5pt;margin-top:-37.45pt;width:108.2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" stroked="f">
                <v:textbox style="mso-fit-shape-to-text:t">
                  <w:txbxContent>
                    <w:p w14:paraId="45E331EB" w14:textId="71832FFB" w:rsidR="00AB530C" w:rsidRPr="00517B1C" w:rsidRDefault="00AB530C">
                      <w:pPr>
                        <w:rPr>
                          <w:color w:val="A6A6A6" w:themeColor="background1" w:themeShade="A6"/>
                        </w:rPr>
                      </w:pPr>
                      <w:r w:rsidRPr="00517B1C">
                        <w:rPr>
                          <w:color w:val="A6A6A6" w:themeColor="background1" w:themeShade="A6"/>
                        </w:rPr>
                        <w:t>LOGO  partenaire</w:t>
                      </w:r>
                    </w:p>
                  </w:txbxContent>
                </v:textbox>
                <w10:wrap type="through"/>
              </v:shape>
            </w:pict>
          </mc:Fallback>
        </mc:AlternateContent>
      </w:r>
      <w:r>
        <w:rPr>
          <w:noProof/>
          <w:lang w:eastAsia="fr-FR"/>
          <w14:ligatures w14:val="none"/>
        </w:rPr>
        <w:drawing>
          <wp:anchor distT="0" distB="0" distL="114300" distR="114300" simplePos="0" relativeHeight="251665408" behindDoc="1" locked="0" layoutInCell="1" allowOverlap="1" wp14:anchorId="6AF522E6" wp14:editId="426327D7">
            <wp:simplePos x="0" y="0"/>
            <wp:positionH relativeFrom="column">
              <wp:posOffset>783590</wp:posOffset>
            </wp:positionH>
            <wp:positionV relativeFrom="paragraph">
              <wp:posOffset>-563245</wp:posOffset>
            </wp:positionV>
            <wp:extent cx="1245235" cy="553720"/>
            <wp:effectExtent l="0" t="0" r="0" b="0"/>
            <wp:wrapThrough wrapText="bothSides">
              <wp:wrapPolygon edited="0">
                <wp:start x="0" y="0"/>
                <wp:lineTo x="0" y="20807"/>
                <wp:lineTo x="21148" y="20807"/>
                <wp:lineTo x="21148" y="0"/>
                <wp:lineTo x="0" y="0"/>
              </wp:wrapPolygon>
            </wp:wrapThrough>
            <wp:docPr id="20" name="Image 20" descr="i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23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30C" w:rsidRPr="00AB530C">
        <w:drawing>
          <wp:anchor distT="0" distB="0" distL="114300" distR="114300" simplePos="0" relativeHeight="251664384" behindDoc="1" locked="0" layoutInCell="1" allowOverlap="1" wp14:anchorId="0FD45AE3" wp14:editId="61829FD0">
            <wp:simplePos x="0" y="0"/>
            <wp:positionH relativeFrom="column">
              <wp:posOffset>-584200</wp:posOffset>
            </wp:positionH>
            <wp:positionV relativeFrom="paragraph">
              <wp:posOffset>-720725</wp:posOffset>
            </wp:positionV>
            <wp:extent cx="1275080" cy="1151890"/>
            <wp:effectExtent l="0" t="0" r="1270" b="0"/>
            <wp:wrapThrough wrapText="bothSides">
              <wp:wrapPolygon edited="0">
                <wp:start x="0" y="0"/>
                <wp:lineTo x="0" y="21076"/>
                <wp:lineTo x="21299" y="21076"/>
                <wp:lineTo x="21299" y="0"/>
                <wp:lineTo x="0" y="0"/>
              </wp:wrapPolygon>
            </wp:wrapThrough>
            <wp:docPr id="19" name="Image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08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41445" w14:textId="77777777" w:rsidR="00EF3D95" w:rsidRDefault="00EF3D95" w:rsidP="008D6650">
      <w:pPr>
        <w:jc w:val="both"/>
      </w:pPr>
    </w:p>
    <w:p w14:paraId="274A731C" w14:textId="1DB71912" w:rsidR="00243315" w:rsidRDefault="00243315" w:rsidP="008D6650">
      <w:pPr>
        <w:jc w:val="both"/>
      </w:pPr>
    </w:p>
    <w:p w14:paraId="6E2EBD0E" w14:textId="77777777" w:rsidR="00E8794C" w:rsidRPr="00B50B75" w:rsidRDefault="006A5130" w:rsidP="00656C1E">
      <w:pPr>
        <w:jc w:val="center"/>
        <w:rPr>
          <w:b/>
          <w:bCs/>
          <w:color w:val="0070C0"/>
          <w:sz w:val="40"/>
          <w:szCs w:val="40"/>
        </w:rPr>
      </w:pPr>
      <w:r w:rsidRPr="00B50B75">
        <w:rPr>
          <w:b/>
          <w:bCs/>
          <w:color w:val="0070C0"/>
          <w:sz w:val="40"/>
          <w:szCs w:val="40"/>
          <w:highlight w:val="yellow"/>
        </w:rPr>
        <w:t>Titre du projet</w:t>
      </w:r>
    </w:p>
    <w:p w14:paraId="1217B1A8" w14:textId="00AA2A19" w:rsidR="007A5E8D" w:rsidRPr="007A5E8D" w:rsidRDefault="007A5E8D" w:rsidP="00656C1E">
      <w:pPr>
        <w:jc w:val="center"/>
      </w:pPr>
      <w:r>
        <w:t>Titre court/acronyme</w:t>
      </w:r>
    </w:p>
    <w:p w14:paraId="32073F57" w14:textId="77777777" w:rsidR="001F62EC" w:rsidRDefault="001F62EC" w:rsidP="008D6650">
      <w:pPr>
        <w:jc w:val="center"/>
      </w:pPr>
    </w:p>
    <w:p w14:paraId="5B15C71E" w14:textId="77777777" w:rsidR="001F62EC" w:rsidRPr="006A5130" w:rsidRDefault="001F62EC" w:rsidP="00656C1E">
      <w:pPr>
        <w:jc w:val="center"/>
      </w:pPr>
      <w:r w:rsidRPr="006A5130">
        <w:rPr>
          <w:highlight w:val="yellow"/>
        </w:rPr>
        <w:t xml:space="preserve">Version </w:t>
      </w:r>
      <w:proofErr w:type="spellStart"/>
      <w:r w:rsidR="006A5130" w:rsidRPr="006A5130">
        <w:rPr>
          <w:highlight w:val="yellow"/>
        </w:rPr>
        <w:t>n°X</w:t>
      </w:r>
      <w:proofErr w:type="spellEnd"/>
      <w:r w:rsidR="006A5130" w:rsidRPr="006A5130">
        <w:rPr>
          <w:highlight w:val="yellow"/>
        </w:rPr>
        <w:t xml:space="preserve"> – DATE</w:t>
      </w:r>
    </w:p>
    <w:p w14:paraId="6D84B3EB" w14:textId="77777777" w:rsidR="001F62EC" w:rsidRDefault="001F62EC" w:rsidP="008D6650">
      <w:pPr>
        <w:jc w:val="both"/>
      </w:pPr>
    </w:p>
    <w:p w14:paraId="16F73F67" w14:textId="6E5936C5" w:rsidR="001F62EC" w:rsidRPr="00151944" w:rsidRDefault="00903EBA" w:rsidP="008D6650">
      <w:pPr>
        <w:jc w:val="both"/>
        <w:rPr>
          <w:b/>
        </w:rPr>
      </w:pPr>
      <w:r w:rsidRPr="00151944">
        <w:rPr>
          <w:b/>
        </w:rPr>
        <w:t>P</w:t>
      </w:r>
      <w:r>
        <w:rPr>
          <w:b/>
        </w:rPr>
        <w:t>orteur</w:t>
      </w:r>
      <w:r w:rsidRPr="00151944">
        <w:rPr>
          <w:b/>
        </w:rPr>
        <w:t xml:space="preserve"> </w:t>
      </w:r>
      <w:r w:rsidR="001F62EC" w:rsidRPr="00151944">
        <w:rPr>
          <w:b/>
        </w:rPr>
        <w:t>de l’étude</w:t>
      </w:r>
      <w:r w:rsidR="0032480B">
        <w:rPr>
          <w:rStyle w:val="Appelnotedebasdep"/>
          <w:b/>
        </w:rPr>
        <w:footnoteReference w:id="1"/>
      </w:r>
      <w:r w:rsidR="001F62EC" w:rsidRPr="00151944">
        <w:rPr>
          <w:b/>
        </w:rPr>
        <w:t> :</w:t>
      </w:r>
      <w:r w:rsidR="001F62EC" w:rsidRPr="00151944">
        <w:rPr>
          <w:b/>
        </w:rPr>
        <w:tab/>
        <w:t>Institut National du Cancer</w:t>
      </w:r>
    </w:p>
    <w:p w14:paraId="2647FDCE" w14:textId="77777777" w:rsidR="001F62EC" w:rsidRDefault="001F62EC" w:rsidP="008D6650">
      <w:pPr>
        <w:ind w:left="2832"/>
        <w:jc w:val="both"/>
      </w:pPr>
      <w:r>
        <w:t>Président de l’Institut National du Cancer</w:t>
      </w:r>
    </w:p>
    <w:p w14:paraId="32E081D5" w14:textId="100BB2D4" w:rsidR="001F62EC" w:rsidRDefault="001F62EC" w:rsidP="008D6650">
      <w:pPr>
        <w:ind w:left="2832"/>
        <w:jc w:val="both"/>
      </w:pPr>
      <w:r>
        <w:t xml:space="preserve">52, avenue André </w:t>
      </w:r>
      <w:proofErr w:type="spellStart"/>
      <w:r>
        <w:t>Morizet</w:t>
      </w:r>
      <w:proofErr w:type="spellEnd"/>
    </w:p>
    <w:p w14:paraId="69E1927B" w14:textId="77777777" w:rsidR="001F62EC" w:rsidRDefault="001F62EC" w:rsidP="008D6650">
      <w:pPr>
        <w:ind w:left="2832"/>
        <w:jc w:val="both"/>
      </w:pPr>
      <w:r w:rsidRPr="00151944">
        <w:t>92 513 Boulogne Billancourt Cedex</w:t>
      </w:r>
    </w:p>
    <w:p w14:paraId="5250D157" w14:textId="1E2BCDF6" w:rsidR="00903EBA" w:rsidRPr="00151944" w:rsidRDefault="00903EBA" w:rsidP="008D6650">
      <w:pPr>
        <w:ind w:left="2832"/>
        <w:jc w:val="both"/>
      </w:pPr>
      <w:r>
        <w:t>A compléter si autre porteur</w:t>
      </w:r>
    </w:p>
    <w:p w14:paraId="0DBD6B2D" w14:textId="77777777" w:rsidR="001F62EC" w:rsidRDefault="001F62EC" w:rsidP="008D6650">
      <w:pPr>
        <w:ind w:left="2832"/>
        <w:jc w:val="both"/>
      </w:pPr>
    </w:p>
    <w:p w14:paraId="36C565CE" w14:textId="77777777" w:rsidR="00A41A26" w:rsidRDefault="007A5E8D" w:rsidP="008D6650">
      <w:pPr>
        <w:jc w:val="both"/>
        <w:rPr>
          <w:b/>
        </w:rPr>
      </w:pPr>
      <w:r>
        <w:rPr>
          <w:b/>
        </w:rPr>
        <w:t>Responsable du traitement des données</w:t>
      </w:r>
      <w:r w:rsidR="0032480B">
        <w:rPr>
          <w:rStyle w:val="Appelnotedebasdep"/>
          <w:b/>
        </w:rPr>
        <w:footnoteReference w:id="2"/>
      </w:r>
      <w:r w:rsidR="001F62EC" w:rsidRPr="00151944">
        <w:rPr>
          <w:b/>
        </w:rPr>
        <w:t> :</w:t>
      </w:r>
    </w:p>
    <w:p w14:paraId="4DDF5C1D" w14:textId="77777777" w:rsidR="001F62EC" w:rsidRPr="00151944" w:rsidRDefault="001F62EC" w:rsidP="008D6650">
      <w:pPr>
        <w:ind w:left="2124" w:firstLine="708"/>
        <w:jc w:val="both"/>
        <w:rPr>
          <w:b/>
        </w:rPr>
      </w:pPr>
      <w:r w:rsidRPr="00151944">
        <w:rPr>
          <w:b/>
        </w:rPr>
        <w:t>Institut National du Cancer</w:t>
      </w:r>
    </w:p>
    <w:p w14:paraId="0CDD9AEE" w14:textId="77777777" w:rsidR="007A5E8D" w:rsidRDefault="007A5E8D" w:rsidP="008D6650">
      <w:pPr>
        <w:ind w:left="2835"/>
        <w:jc w:val="both"/>
      </w:pPr>
      <w:r>
        <w:t xml:space="preserve">52, avenue André </w:t>
      </w:r>
      <w:proofErr w:type="spellStart"/>
      <w:r>
        <w:t>Morizet</w:t>
      </w:r>
      <w:proofErr w:type="spellEnd"/>
    </w:p>
    <w:p w14:paraId="2C8D607F" w14:textId="77777777" w:rsidR="007A5E8D" w:rsidRDefault="007A5E8D" w:rsidP="008D6650">
      <w:pPr>
        <w:ind w:left="2835"/>
        <w:jc w:val="both"/>
      </w:pPr>
      <w:r w:rsidRPr="00151944">
        <w:t>92 513 Boulogne Billancourt Cedex</w:t>
      </w:r>
    </w:p>
    <w:p w14:paraId="02B895C0" w14:textId="0D1C99C9" w:rsidR="00903EBA" w:rsidRPr="00151944" w:rsidRDefault="00903EBA" w:rsidP="008D6650">
      <w:pPr>
        <w:ind w:left="2835"/>
        <w:jc w:val="both"/>
      </w:pPr>
      <w:r>
        <w:t>A compléter si autre RT</w:t>
      </w:r>
    </w:p>
    <w:p w14:paraId="46BBBF47" w14:textId="77777777" w:rsidR="001F62EC" w:rsidRDefault="001F62EC" w:rsidP="008D6650">
      <w:pPr>
        <w:jc w:val="both"/>
      </w:pPr>
    </w:p>
    <w:p w14:paraId="1714881A" w14:textId="0816BEE6" w:rsidR="00966210" w:rsidRDefault="001F62EC" w:rsidP="008D6650">
      <w:pPr>
        <w:jc w:val="both"/>
      </w:pPr>
      <w:r w:rsidRPr="00151944">
        <w:rPr>
          <w:b/>
        </w:rPr>
        <w:t>Type d’étude :</w:t>
      </w:r>
      <w:r w:rsidRPr="00151944">
        <w:t xml:space="preserve"> </w:t>
      </w:r>
      <w:r w:rsidR="006A5130" w:rsidRPr="006A5130">
        <w:rPr>
          <w:i/>
          <w:highlight w:val="yellow"/>
        </w:rPr>
        <w:t>À compléter</w:t>
      </w:r>
      <w:r w:rsidR="00A41A26">
        <w:rPr>
          <w:i/>
        </w:rPr>
        <w:t xml:space="preserve"> Etude épidémiologique observationnelle</w:t>
      </w:r>
    </w:p>
    <w:p w14:paraId="7046A871" w14:textId="77777777" w:rsidR="00AB530C" w:rsidRDefault="00AB530C">
      <w:pPr>
        <w:spacing w:after="0" w:line="240" w:lineRule="auto"/>
        <w:rPr>
          <w:b/>
          <w:bCs/>
          <w:color w:val="0070C0"/>
          <w:sz w:val="32"/>
          <w:szCs w:val="32"/>
        </w:rPr>
      </w:pPr>
      <w:r>
        <w:rPr>
          <w:b/>
          <w:bCs/>
          <w:color w:val="0070C0"/>
          <w:sz w:val="32"/>
          <w:szCs w:val="32"/>
        </w:rPr>
        <w:br w:type="page"/>
      </w:r>
    </w:p>
    <w:p w14:paraId="284AF884" w14:textId="2A7BF3D9" w:rsidR="00966210" w:rsidRPr="00903EBA" w:rsidRDefault="00966210" w:rsidP="008D6650">
      <w:pPr>
        <w:jc w:val="both"/>
        <w:rPr>
          <w:b/>
          <w:bCs/>
          <w:color w:val="0070C0"/>
          <w:sz w:val="32"/>
          <w:szCs w:val="32"/>
        </w:rPr>
      </w:pPr>
      <w:r w:rsidRPr="00B50B75">
        <w:rPr>
          <w:b/>
          <w:bCs/>
          <w:color w:val="0070C0"/>
          <w:sz w:val="32"/>
          <w:szCs w:val="32"/>
        </w:rPr>
        <w:t>CONSIGNES</w:t>
      </w:r>
    </w:p>
    <w:p w14:paraId="51BB1419" w14:textId="62C19257" w:rsidR="000E6D89" w:rsidRPr="00FF023E" w:rsidRDefault="00966210" w:rsidP="008D6650">
      <w:pPr>
        <w:jc w:val="both"/>
        <w:rPr>
          <w:color w:val="76923C" w:themeColor="accent3" w:themeShade="BF"/>
        </w:rPr>
      </w:pPr>
      <w:r w:rsidRPr="00FF023E">
        <w:rPr>
          <w:color w:val="76923C" w:themeColor="accent3" w:themeShade="BF"/>
        </w:rPr>
        <w:t>Le document est en mode modèle</w:t>
      </w:r>
      <w:r w:rsidR="000E6D89" w:rsidRPr="00FF023E">
        <w:rPr>
          <w:color w:val="76923C" w:themeColor="accent3" w:themeShade="BF"/>
        </w:rPr>
        <w:t xml:space="preserve"> (.</w:t>
      </w:r>
      <w:proofErr w:type="spellStart"/>
      <w:r w:rsidR="000E6D89" w:rsidRPr="00FF023E">
        <w:rPr>
          <w:color w:val="76923C" w:themeColor="accent3" w:themeShade="BF"/>
        </w:rPr>
        <w:t>odtx</w:t>
      </w:r>
      <w:proofErr w:type="spellEnd"/>
      <w:r w:rsidR="000E6D89" w:rsidRPr="00FF023E">
        <w:rPr>
          <w:color w:val="76923C" w:themeColor="accent3" w:themeShade="BF"/>
        </w:rPr>
        <w:t>)</w:t>
      </w:r>
      <w:r w:rsidRPr="00FF023E">
        <w:rPr>
          <w:color w:val="76923C" w:themeColor="accent3" w:themeShade="BF"/>
        </w:rPr>
        <w:t>. Lors du premier enregistrement il faudra définir le nom du doc</w:t>
      </w:r>
      <w:r w:rsidR="000E6D89" w:rsidRPr="00FF023E">
        <w:rPr>
          <w:color w:val="76923C" w:themeColor="accent3" w:themeShade="BF"/>
        </w:rPr>
        <w:t>u</w:t>
      </w:r>
      <w:r w:rsidRPr="00FF023E">
        <w:rPr>
          <w:color w:val="76923C" w:themeColor="accent3" w:themeShade="BF"/>
        </w:rPr>
        <w:t xml:space="preserve">ment qui sera enregistré au format </w:t>
      </w:r>
      <w:proofErr w:type="spellStart"/>
      <w:r w:rsidRPr="00FF023E">
        <w:rPr>
          <w:color w:val="76923C" w:themeColor="accent3" w:themeShade="BF"/>
        </w:rPr>
        <w:t>word</w:t>
      </w:r>
      <w:proofErr w:type="spellEnd"/>
      <w:r w:rsidRPr="00FF023E">
        <w:rPr>
          <w:color w:val="76923C" w:themeColor="accent3" w:themeShade="BF"/>
        </w:rPr>
        <w:t xml:space="preserve"> (.</w:t>
      </w:r>
      <w:proofErr w:type="spellStart"/>
      <w:r w:rsidRPr="00FF023E">
        <w:rPr>
          <w:color w:val="76923C" w:themeColor="accent3" w:themeShade="BF"/>
        </w:rPr>
        <w:t>docx</w:t>
      </w:r>
      <w:proofErr w:type="spellEnd"/>
      <w:r w:rsidRPr="00FF023E">
        <w:rPr>
          <w:color w:val="76923C" w:themeColor="accent3" w:themeShade="BF"/>
        </w:rPr>
        <w:t>).</w:t>
      </w:r>
    </w:p>
    <w:p w14:paraId="1EA461EE" w14:textId="6F271FA4" w:rsidR="000E6D89" w:rsidRPr="00FF023E" w:rsidRDefault="000E6D89" w:rsidP="008D6650">
      <w:pPr>
        <w:jc w:val="both"/>
        <w:rPr>
          <w:color w:val="76923C" w:themeColor="accent3" w:themeShade="BF"/>
        </w:rPr>
      </w:pPr>
      <w:r w:rsidRPr="00FF023E">
        <w:rPr>
          <w:color w:val="76923C" w:themeColor="accent3" w:themeShade="BF"/>
        </w:rPr>
        <w:t xml:space="preserve">Les éléments </w:t>
      </w:r>
      <w:r w:rsidRPr="00FF023E">
        <w:rPr>
          <w:i/>
          <w:iCs/>
          <w:color w:val="76923C" w:themeColor="accent3" w:themeShade="BF"/>
          <w:highlight w:val="yellow"/>
        </w:rPr>
        <w:t>en italique surlignées en jaune</w:t>
      </w:r>
      <w:r w:rsidRPr="00FF023E">
        <w:rPr>
          <w:color w:val="76923C" w:themeColor="accent3" w:themeShade="BF"/>
        </w:rPr>
        <w:t xml:space="preserve"> sont des consignes qui peuvent être levées au fur et à mesure de la rédaction du document</w:t>
      </w:r>
      <w:r w:rsidR="00903EBA">
        <w:rPr>
          <w:color w:val="76923C" w:themeColor="accent3" w:themeShade="BF"/>
        </w:rPr>
        <w:t>.</w:t>
      </w:r>
    </w:p>
    <w:p w14:paraId="234DBAA2" w14:textId="77777777" w:rsidR="000E6D89" w:rsidRPr="00FF023E" w:rsidRDefault="000E6D89" w:rsidP="008D6650">
      <w:pPr>
        <w:jc w:val="both"/>
        <w:rPr>
          <w:color w:val="76923C" w:themeColor="accent3" w:themeShade="BF"/>
        </w:rPr>
      </w:pPr>
      <w:r w:rsidRPr="00FF023E">
        <w:rPr>
          <w:color w:val="76923C" w:themeColor="accent3" w:themeShade="BF"/>
        </w:rPr>
        <w:t>En fonction de l’étude, certaines sections peuvent ne pas avoir d’intérêt. Par exemple, la section sur les modalités de recueil de données qui n’a lieu d’être que lorsqu’un retour aux dossiers des personnes ou un questionnaire est prévu. De même la section sur les méthodes et critères d’appariement ne concerne que les études pour lesquelles plusieurs sources de données sont associées. Ces sections peuvent être supprimées.</w:t>
      </w:r>
    </w:p>
    <w:p w14:paraId="588F5B10" w14:textId="10C38FF3" w:rsidR="00966210" w:rsidRPr="00903EBA" w:rsidRDefault="000E6D89" w:rsidP="008D6650">
      <w:pPr>
        <w:jc w:val="both"/>
      </w:pPr>
      <w:r w:rsidRPr="000E6D89">
        <w:rPr>
          <w:b/>
          <w:bCs/>
          <w:color w:val="FF0000"/>
        </w:rPr>
        <w:t>/!\Dans le doute</w:t>
      </w:r>
      <w:r w:rsidRPr="000E6D89">
        <w:rPr>
          <w:rFonts w:ascii="Cambria" w:hAnsi="Cambria" w:cs="Cambria"/>
          <w:color w:val="FF0000"/>
        </w:rPr>
        <w:t> </w:t>
      </w:r>
      <w:r w:rsidRPr="000E6D89">
        <w:rPr>
          <w:color w:val="FF0000"/>
        </w:rPr>
        <w:t>:</w:t>
      </w:r>
      <w:r>
        <w:t xml:space="preserve"> </w:t>
      </w:r>
      <w:r w:rsidRPr="00FF023E">
        <w:rPr>
          <w:color w:val="76923C" w:themeColor="accent3" w:themeShade="BF"/>
        </w:rPr>
        <w:t>laisser la section, elle sera supprimée par la suite.</w:t>
      </w:r>
    </w:p>
    <w:p w14:paraId="0EA54810" w14:textId="77777777" w:rsidR="00966210" w:rsidRPr="00FF023E" w:rsidRDefault="000E6D89" w:rsidP="008D6650">
      <w:pPr>
        <w:jc w:val="both"/>
        <w:rPr>
          <w:color w:val="76923C" w:themeColor="accent3" w:themeShade="BF"/>
        </w:rPr>
      </w:pPr>
      <w:r w:rsidRPr="00FF023E">
        <w:rPr>
          <w:color w:val="76923C" w:themeColor="accent3" w:themeShade="BF"/>
        </w:rPr>
        <w:t xml:space="preserve">Le document est formaté et </w:t>
      </w:r>
      <w:r w:rsidRPr="00FF023E">
        <w:rPr>
          <w:b/>
          <w:bCs/>
          <w:color w:val="76923C" w:themeColor="accent3" w:themeShade="BF"/>
        </w:rPr>
        <w:t xml:space="preserve">utilise </w:t>
      </w:r>
      <w:r w:rsidR="00B07A30" w:rsidRPr="00FF023E">
        <w:rPr>
          <w:b/>
          <w:bCs/>
          <w:color w:val="76923C" w:themeColor="accent3" w:themeShade="BF"/>
        </w:rPr>
        <w:t>des styles prédéfinis</w:t>
      </w:r>
      <w:r w:rsidRPr="00FF023E">
        <w:rPr>
          <w:rFonts w:ascii="Cambria" w:hAnsi="Cambria" w:cs="Cambria"/>
          <w:color w:val="76923C" w:themeColor="accent3" w:themeShade="BF"/>
        </w:rPr>
        <w:t> </w:t>
      </w:r>
      <w:r w:rsidRPr="00FF023E">
        <w:rPr>
          <w:color w:val="76923C" w:themeColor="accent3" w:themeShade="BF"/>
        </w:rPr>
        <w:t>:</w:t>
      </w:r>
    </w:p>
    <w:p w14:paraId="75CA39B8" w14:textId="77777777" w:rsidR="000E6D89" w:rsidRPr="00FF023E" w:rsidRDefault="00B07A30" w:rsidP="008D6650">
      <w:pPr>
        <w:jc w:val="both"/>
        <w:rPr>
          <w:color w:val="76923C" w:themeColor="accent3" w:themeShade="BF"/>
        </w:rPr>
      </w:pPr>
      <w:r w:rsidRPr="00FF023E">
        <w:rPr>
          <w:color w:val="76923C" w:themeColor="accent3" w:themeShade="BF"/>
        </w:rPr>
        <w:tab/>
        <w:t>Pour le texte</w:t>
      </w:r>
      <w:r w:rsidRPr="00FF023E">
        <w:rPr>
          <w:rFonts w:ascii="Cambria" w:hAnsi="Cambria" w:cs="Cambria"/>
          <w:color w:val="76923C" w:themeColor="accent3" w:themeShade="BF"/>
        </w:rPr>
        <w:t> </w:t>
      </w:r>
      <w:r w:rsidRPr="00FF023E">
        <w:rPr>
          <w:color w:val="76923C" w:themeColor="accent3" w:themeShade="BF"/>
        </w:rPr>
        <w:t>: Normal</w:t>
      </w:r>
    </w:p>
    <w:p w14:paraId="6A15329D" w14:textId="77777777" w:rsidR="00B07A30" w:rsidRPr="00FF023E" w:rsidRDefault="00B07A30" w:rsidP="008D6650">
      <w:pPr>
        <w:jc w:val="both"/>
        <w:rPr>
          <w:color w:val="76923C" w:themeColor="accent3" w:themeShade="BF"/>
        </w:rPr>
      </w:pPr>
      <w:r w:rsidRPr="00FF023E">
        <w:rPr>
          <w:color w:val="76923C" w:themeColor="accent3" w:themeShade="BF"/>
        </w:rPr>
        <w:tab/>
        <w:t>Pour les titres</w:t>
      </w:r>
      <w:r w:rsidRPr="00FF023E">
        <w:rPr>
          <w:rFonts w:ascii="Cambria" w:hAnsi="Cambria" w:cs="Cambria"/>
          <w:color w:val="76923C" w:themeColor="accent3" w:themeShade="BF"/>
        </w:rPr>
        <w:t> </w:t>
      </w:r>
      <w:r w:rsidRPr="00FF023E">
        <w:rPr>
          <w:color w:val="76923C" w:themeColor="accent3" w:themeShade="BF"/>
        </w:rPr>
        <w:t>: 1 TITRE 1 (premier niveau)</w:t>
      </w:r>
      <w:r w:rsidRPr="00FF023E">
        <w:rPr>
          <w:rFonts w:ascii="Cambria" w:hAnsi="Cambria" w:cs="Cambria"/>
          <w:color w:val="76923C" w:themeColor="accent3" w:themeShade="BF"/>
        </w:rPr>
        <w:t> </w:t>
      </w:r>
      <w:r w:rsidRPr="00FF023E">
        <w:rPr>
          <w:color w:val="76923C" w:themeColor="accent3" w:themeShade="BF"/>
        </w:rPr>
        <w:t>; 1</w:t>
      </w:r>
      <w:r w:rsidRPr="00FF023E">
        <w:rPr>
          <w:rFonts w:ascii="Cambria" w:hAnsi="Cambria" w:cs="Cambria"/>
          <w:color w:val="76923C" w:themeColor="accent3" w:themeShade="BF"/>
        </w:rPr>
        <w:t> </w:t>
      </w:r>
      <w:r w:rsidRPr="00FF023E">
        <w:rPr>
          <w:color w:val="76923C" w:themeColor="accent3" w:themeShade="BF"/>
        </w:rPr>
        <w:t>.1 Titre 2 (deuxième niveau)</w:t>
      </w:r>
      <w:r w:rsidRPr="00FF023E">
        <w:rPr>
          <w:rFonts w:ascii="Cambria" w:hAnsi="Cambria" w:cs="Cambria"/>
          <w:color w:val="76923C" w:themeColor="accent3" w:themeShade="BF"/>
        </w:rPr>
        <w:t> </w:t>
      </w:r>
      <w:r w:rsidRPr="00FF023E">
        <w:rPr>
          <w:color w:val="76923C" w:themeColor="accent3" w:themeShade="BF"/>
        </w:rPr>
        <w:t>; 1.1 Titre 3 (troisième niveau)</w:t>
      </w:r>
    </w:p>
    <w:p w14:paraId="4A43AB18" w14:textId="77777777" w:rsidR="00B07A30" w:rsidRPr="00FF023E" w:rsidRDefault="00B07A30" w:rsidP="008D6650">
      <w:pPr>
        <w:jc w:val="both"/>
        <w:rPr>
          <w:color w:val="76923C" w:themeColor="accent3" w:themeShade="BF"/>
        </w:rPr>
      </w:pPr>
      <w:r w:rsidRPr="00FF023E">
        <w:rPr>
          <w:color w:val="76923C" w:themeColor="accent3" w:themeShade="BF"/>
        </w:rPr>
        <w:tab/>
        <w:t>Pour les listes à puce</w:t>
      </w:r>
      <w:r w:rsidRPr="00FF023E">
        <w:rPr>
          <w:rFonts w:ascii="Cambria" w:hAnsi="Cambria" w:cs="Cambria"/>
          <w:color w:val="76923C" w:themeColor="accent3" w:themeShade="BF"/>
        </w:rPr>
        <w:t> </w:t>
      </w:r>
      <w:r w:rsidRPr="00FF023E">
        <w:rPr>
          <w:color w:val="76923C" w:themeColor="accent3" w:themeShade="BF"/>
        </w:rPr>
        <w:t xml:space="preserve">: Puce </w:t>
      </w:r>
      <w:proofErr w:type="spellStart"/>
      <w:r w:rsidRPr="00FF023E">
        <w:rPr>
          <w:color w:val="76923C" w:themeColor="accent3" w:themeShade="BF"/>
        </w:rPr>
        <w:t>niv</w:t>
      </w:r>
      <w:proofErr w:type="spellEnd"/>
      <w:r w:rsidRPr="00FF023E">
        <w:rPr>
          <w:color w:val="76923C" w:themeColor="accent3" w:themeShade="BF"/>
        </w:rPr>
        <w:t xml:space="preserve"> 01</w:t>
      </w:r>
    </w:p>
    <w:p w14:paraId="21078D70" w14:textId="77777777" w:rsidR="00B07A30" w:rsidRPr="00FF023E" w:rsidRDefault="00B07A30" w:rsidP="008D6650">
      <w:pPr>
        <w:jc w:val="both"/>
        <w:rPr>
          <w:color w:val="76923C" w:themeColor="accent3" w:themeShade="BF"/>
        </w:rPr>
      </w:pPr>
      <w:r w:rsidRPr="00FF023E">
        <w:rPr>
          <w:color w:val="76923C" w:themeColor="accent3" w:themeShade="BF"/>
        </w:rPr>
        <w:tab/>
        <w:t>Pour les listes numérotées</w:t>
      </w:r>
      <w:r w:rsidRPr="00FF023E">
        <w:rPr>
          <w:rFonts w:ascii="Cambria" w:hAnsi="Cambria" w:cs="Cambria"/>
          <w:color w:val="76923C" w:themeColor="accent3" w:themeShade="BF"/>
        </w:rPr>
        <w:t> </w:t>
      </w:r>
      <w:r w:rsidRPr="00FF023E">
        <w:rPr>
          <w:color w:val="76923C" w:themeColor="accent3" w:themeShade="BF"/>
        </w:rPr>
        <w:t>: 1. Liste à numéro (si vous voulez recommencer la numérotation à 1, sélectionner la ligne concernée, clic de droit avec la souris et cliquer sur «</w:t>
      </w:r>
      <w:r w:rsidRPr="00FF023E">
        <w:rPr>
          <w:rFonts w:ascii="Cambria" w:hAnsi="Cambria" w:cs="Cambria"/>
          <w:color w:val="76923C" w:themeColor="accent3" w:themeShade="BF"/>
        </w:rPr>
        <w:t> </w:t>
      </w:r>
      <w:r w:rsidRPr="00FF023E">
        <w:rPr>
          <w:color w:val="76923C" w:themeColor="accent3" w:themeShade="BF"/>
        </w:rPr>
        <w:t>Recommencer la numérotation).</w:t>
      </w:r>
    </w:p>
    <w:p w14:paraId="0ECCA92B" w14:textId="11238E55" w:rsidR="00364469" w:rsidRDefault="00B07A30" w:rsidP="008D6650">
      <w:pPr>
        <w:jc w:val="both"/>
        <w:rPr>
          <w:color w:val="76923C" w:themeColor="accent3" w:themeShade="BF"/>
        </w:rPr>
      </w:pPr>
      <w:r w:rsidRPr="00FF023E">
        <w:rPr>
          <w:color w:val="76923C" w:themeColor="accent3" w:themeShade="BF"/>
        </w:rPr>
        <w:t>Pour utiliser un style</w:t>
      </w:r>
      <w:r w:rsidRPr="00FF023E">
        <w:rPr>
          <w:rFonts w:ascii="Cambria" w:hAnsi="Cambria" w:cs="Cambria"/>
          <w:color w:val="76923C" w:themeColor="accent3" w:themeShade="BF"/>
        </w:rPr>
        <w:t> </w:t>
      </w:r>
      <w:r w:rsidRPr="00FF023E">
        <w:rPr>
          <w:color w:val="76923C" w:themeColor="accent3" w:themeShade="BF"/>
        </w:rPr>
        <w:t>: sélectionner le texte puis cliquez sur le nom du style</w:t>
      </w:r>
    </w:p>
    <w:p w14:paraId="17E46827" w14:textId="3E243CC9" w:rsidR="00FF023E" w:rsidRDefault="00364469" w:rsidP="00903EBA">
      <w:pPr>
        <w:jc w:val="both"/>
        <w:rPr>
          <w:color w:val="76923C" w:themeColor="accent3" w:themeShade="BF"/>
        </w:rPr>
      </w:pPr>
      <w:r w:rsidRPr="002D3468">
        <w:rPr>
          <w:color w:val="76923C" w:themeColor="accent3" w:themeShade="BF"/>
          <w:highlight w:val="yellow"/>
        </w:rPr>
        <w:t>Recommandation</w:t>
      </w:r>
      <w:r w:rsidRPr="002D3468">
        <w:rPr>
          <w:rFonts w:ascii="Calibri" w:hAnsi="Calibri" w:cs="Calibri"/>
          <w:color w:val="76923C" w:themeColor="accent3" w:themeShade="BF"/>
          <w:highlight w:val="yellow"/>
        </w:rPr>
        <w:t> </w:t>
      </w:r>
      <w:r w:rsidRPr="002D3468">
        <w:rPr>
          <w:color w:val="76923C" w:themeColor="accent3" w:themeShade="BF"/>
          <w:highlight w:val="yellow"/>
        </w:rPr>
        <w:t xml:space="preserve">: </w:t>
      </w:r>
      <w:r w:rsidR="002D3468" w:rsidRPr="002D3468">
        <w:rPr>
          <w:color w:val="76923C" w:themeColor="accent3" w:themeShade="BF"/>
          <w:highlight w:val="yellow"/>
        </w:rPr>
        <w:t xml:space="preserve">les protocoles devant être soumis à l’avis du </w:t>
      </w:r>
      <w:proofErr w:type="spellStart"/>
      <w:r w:rsidR="002D3468" w:rsidRPr="002D3468">
        <w:rPr>
          <w:color w:val="76923C" w:themeColor="accent3" w:themeShade="BF"/>
          <w:highlight w:val="yellow"/>
        </w:rPr>
        <w:t>Cesrees</w:t>
      </w:r>
      <w:proofErr w:type="spellEnd"/>
      <w:r w:rsidR="002D3468" w:rsidRPr="002D3468">
        <w:rPr>
          <w:color w:val="76923C" w:themeColor="accent3" w:themeShade="BF"/>
          <w:highlight w:val="yellow"/>
        </w:rPr>
        <w:t xml:space="preserve"> </w:t>
      </w:r>
      <w:r w:rsidR="002E6E40">
        <w:rPr>
          <w:color w:val="76923C" w:themeColor="accent3" w:themeShade="BF"/>
          <w:highlight w:val="yellow"/>
        </w:rPr>
        <w:t xml:space="preserve">devront rester en dessous des </w:t>
      </w:r>
      <w:r w:rsidR="002D7080">
        <w:rPr>
          <w:color w:val="76923C" w:themeColor="accent3" w:themeShade="BF"/>
          <w:highlight w:val="yellow"/>
        </w:rPr>
        <w:t>2</w:t>
      </w:r>
      <w:r w:rsidR="002E6E40">
        <w:rPr>
          <w:color w:val="76923C" w:themeColor="accent3" w:themeShade="BF"/>
          <w:highlight w:val="yellow"/>
        </w:rPr>
        <w:t>0 pages</w:t>
      </w:r>
      <w:r w:rsidR="002D3468" w:rsidRPr="002D3468">
        <w:rPr>
          <w:color w:val="76923C" w:themeColor="accent3" w:themeShade="BF"/>
          <w:highlight w:val="yellow"/>
        </w:rPr>
        <w:t xml:space="preserve"> (hors annexes)</w:t>
      </w:r>
    </w:p>
    <w:p w14:paraId="307C5A8A" w14:textId="77777777" w:rsidR="00B81C17" w:rsidRPr="00B81C17" w:rsidRDefault="00B81C17" w:rsidP="008D6650">
      <w:pPr>
        <w:jc w:val="both"/>
        <w:rPr>
          <w:rFonts w:ascii="Marianne" w:hAnsi="Marianne"/>
          <w:b/>
          <w:bCs/>
          <w:color w:val="76923C" w:themeColor="accent3" w:themeShade="BF"/>
        </w:rPr>
      </w:pPr>
      <w:r w:rsidRPr="00B81C17">
        <w:rPr>
          <w:rFonts w:ascii="Marianne" w:hAnsi="Marianne"/>
          <w:b/>
          <w:bCs/>
          <w:color w:val="76923C" w:themeColor="accent3" w:themeShade="BF"/>
        </w:rPr>
        <w:t>Périodes de l’étude</w:t>
      </w:r>
      <w:r w:rsidRPr="00B81C17">
        <w:rPr>
          <w:rFonts w:ascii="Cambria" w:hAnsi="Cambria" w:cs="Cambria"/>
          <w:b/>
          <w:bCs/>
          <w:color w:val="76923C" w:themeColor="accent3" w:themeShade="BF"/>
        </w:rPr>
        <w:t> </w:t>
      </w:r>
      <w:r w:rsidRPr="00B81C17">
        <w:rPr>
          <w:rFonts w:ascii="Marianne" w:hAnsi="Marianne"/>
          <w:b/>
          <w:bCs/>
          <w:color w:val="76923C" w:themeColor="accent3" w:themeShade="BF"/>
        </w:rPr>
        <w:t>:</w:t>
      </w:r>
    </w:p>
    <w:p w14:paraId="739C185D" w14:textId="10CC0A29" w:rsidR="00B81C17" w:rsidRPr="00B81C17" w:rsidRDefault="00B81C17" w:rsidP="008D6650">
      <w:pPr>
        <w:jc w:val="both"/>
        <w:rPr>
          <w:color w:val="76923C" w:themeColor="accent3" w:themeShade="BF"/>
        </w:rPr>
      </w:pPr>
      <w:r w:rsidRPr="00B81C17">
        <w:rPr>
          <w:color w:val="76923C" w:themeColor="accent3" w:themeShade="BF"/>
        </w:rPr>
        <w:t>Il est important de distinguer différentes périodes de l’étude afin d’éviter tout problème de compréhension.</w:t>
      </w:r>
    </w:p>
    <w:p w14:paraId="465F987A" w14:textId="77777777" w:rsidR="00B81C17" w:rsidRPr="00B81C17" w:rsidRDefault="00B81C17" w:rsidP="008D6650">
      <w:pPr>
        <w:jc w:val="both"/>
        <w:rPr>
          <w:rFonts w:ascii="Marianne" w:hAnsi="Marianne"/>
          <w:b/>
          <w:bCs/>
          <w:color w:val="76923C" w:themeColor="accent3" w:themeShade="BF"/>
        </w:rPr>
      </w:pPr>
      <w:r w:rsidRPr="00B81C17">
        <w:rPr>
          <w:rFonts w:ascii="Marianne" w:hAnsi="Marianne"/>
          <w:b/>
          <w:bCs/>
          <w:color w:val="76923C" w:themeColor="accent3" w:themeShade="BF"/>
        </w:rPr>
        <w:t>1/ Période d’inclusion</w:t>
      </w:r>
      <w:r w:rsidRPr="00B81C17">
        <w:rPr>
          <w:rFonts w:ascii="Cambria" w:hAnsi="Cambria" w:cs="Cambria"/>
          <w:b/>
          <w:bCs/>
          <w:color w:val="76923C" w:themeColor="accent3" w:themeShade="BF"/>
        </w:rPr>
        <w:t> </w:t>
      </w:r>
      <w:r w:rsidRPr="00B81C17">
        <w:rPr>
          <w:rFonts w:ascii="Marianne" w:hAnsi="Marianne"/>
          <w:b/>
          <w:bCs/>
          <w:color w:val="76923C" w:themeColor="accent3" w:themeShade="BF"/>
        </w:rPr>
        <w:t>: (ou période de ciblage cf. définition HDH)</w:t>
      </w:r>
    </w:p>
    <w:p w14:paraId="5C69615A" w14:textId="77777777" w:rsidR="00B81C17" w:rsidRPr="00B81C17" w:rsidRDefault="00B81C17" w:rsidP="008D6650">
      <w:pPr>
        <w:jc w:val="both"/>
        <w:rPr>
          <w:color w:val="76923C" w:themeColor="accent3" w:themeShade="BF"/>
        </w:rPr>
      </w:pPr>
      <w:r w:rsidRPr="00B81C17">
        <w:rPr>
          <w:color w:val="76923C" w:themeColor="accent3" w:themeShade="BF"/>
        </w:rPr>
        <w:t>Période d’inclusion</w:t>
      </w:r>
      <w:r w:rsidRPr="00B81C17">
        <w:rPr>
          <w:rFonts w:ascii="Calibri" w:hAnsi="Calibri" w:cs="Calibri"/>
          <w:color w:val="76923C" w:themeColor="accent3" w:themeShade="BF"/>
        </w:rPr>
        <w:t> </w:t>
      </w:r>
      <w:r w:rsidRPr="00B81C17">
        <w:rPr>
          <w:color w:val="76923C" w:themeColor="accent3" w:themeShade="BF"/>
        </w:rPr>
        <w:t>: période choisie pour appliquer les critères de sélection d’une population.</w:t>
      </w:r>
    </w:p>
    <w:p w14:paraId="51C89C26" w14:textId="77777777" w:rsidR="00B81C17" w:rsidRPr="00B81C17" w:rsidRDefault="00B81C17" w:rsidP="008D6650">
      <w:pPr>
        <w:jc w:val="both"/>
        <w:rPr>
          <w:color w:val="76923C" w:themeColor="accent3" w:themeShade="BF"/>
        </w:rPr>
      </w:pPr>
      <w:r w:rsidRPr="00B81C17">
        <w:rPr>
          <w:color w:val="76923C" w:themeColor="accent3" w:themeShade="BF"/>
        </w:rPr>
        <w:t>Il s’agit d’identifier la période au cours de laquelle toutes les personnes devant participer à l’étude sont sélectionnées.</w:t>
      </w:r>
    </w:p>
    <w:p w14:paraId="181B5192" w14:textId="77777777" w:rsidR="00B81C17" w:rsidRPr="00B81C17" w:rsidRDefault="00B81C17" w:rsidP="008D6650">
      <w:pPr>
        <w:jc w:val="both"/>
        <w:rPr>
          <w:color w:val="76923C" w:themeColor="accent3" w:themeShade="BF"/>
        </w:rPr>
      </w:pPr>
      <w:r w:rsidRPr="00B81C17">
        <w:rPr>
          <w:color w:val="76923C" w:themeColor="accent3" w:themeShade="BF"/>
        </w:rPr>
        <w:t>Exemple</w:t>
      </w:r>
      <w:r w:rsidRPr="00B81C17">
        <w:rPr>
          <w:rFonts w:ascii="Cambria" w:hAnsi="Cambria" w:cs="Cambria"/>
          <w:color w:val="76923C" w:themeColor="accent3" w:themeShade="BF"/>
        </w:rPr>
        <w:t> </w:t>
      </w:r>
      <w:r w:rsidRPr="00B81C17">
        <w:rPr>
          <w:color w:val="76923C" w:themeColor="accent3" w:themeShade="BF"/>
        </w:rPr>
        <w:t>:</w:t>
      </w:r>
    </w:p>
    <w:p w14:paraId="238E2C99" w14:textId="059A827B" w:rsidR="00B81C17" w:rsidRPr="00903EBA" w:rsidRDefault="00B81C17" w:rsidP="00DA4183">
      <w:pPr>
        <w:pStyle w:val="Paragraphedeliste"/>
        <w:numPr>
          <w:ilvl w:val="0"/>
          <w:numId w:val="21"/>
        </w:numPr>
        <w:jc w:val="both"/>
        <w:rPr>
          <w:color w:val="76923C" w:themeColor="accent3" w:themeShade="BF"/>
        </w:rPr>
      </w:pPr>
      <w:r w:rsidRPr="00B81C17">
        <w:rPr>
          <w:color w:val="76923C" w:themeColor="accent3" w:themeShade="BF"/>
        </w:rPr>
        <w:t>Tous les nouveaux cas de cancer de l’estomac identifiés entre le 1</w:t>
      </w:r>
      <w:r w:rsidRPr="00B81C17">
        <w:rPr>
          <w:color w:val="76923C" w:themeColor="accent3" w:themeShade="BF"/>
          <w:vertAlign w:val="superscript"/>
        </w:rPr>
        <w:t>er</w:t>
      </w:r>
      <w:r w:rsidRPr="00B81C17">
        <w:rPr>
          <w:color w:val="76923C" w:themeColor="accent3" w:themeShade="BF"/>
        </w:rPr>
        <w:t xml:space="preserve"> janvier 2018 et le 31 décembre 2021</w:t>
      </w:r>
    </w:p>
    <w:p w14:paraId="2051A00F" w14:textId="77777777" w:rsidR="00B81C17" w:rsidRPr="00B81C17" w:rsidRDefault="00B81C17" w:rsidP="008D6650">
      <w:pPr>
        <w:jc w:val="both"/>
        <w:rPr>
          <w:rFonts w:ascii="Marianne" w:hAnsi="Marianne"/>
          <w:b/>
          <w:bCs/>
          <w:color w:val="76923C" w:themeColor="accent3" w:themeShade="BF"/>
        </w:rPr>
      </w:pPr>
      <w:r w:rsidRPr="00B81C17">
        <w:rPr>
          <w:rFonts w:ascii="Marianne" w:hAnsi="Marianne"/>
          <w:b/>
          <w:bCs/>
          <w:color w:val="76923C" w:themeColor="accent3" w:themeShade="BF"/>
        </w:rPr>
        <w:t>2/ Période nécessaire à la qualification des critères d’inclusion</w:t>
      </w:r>
      <w:r w:rsidRPr="00B81C17">
        <w:rPr>
          <w:rFonts w:ascii="Cambria" w:hAnsi="Cambria" w:cs="Cambria"/>
          <w:b/>
          <w:bCs/>
          <w:color w:val="76923C" w:themeColor="accent3" w:themeShade="BF"/>
        </w:rPr>
        <w:t> </w:t>
      </w:r>
      <w:r w:rsidRPr="00B81C17">
        <w:rPr>
          <w:rFonts w:ascii="Marianne" w:hAnsi="Marianne"/>
          <w:b/>
          <w:bCs/>
          <w:color w:val="76923C" w:themeColor="accent3" w:themeShade="BF"/>
        </w:rPr>
        <w:t>:</w:t>
      </w:r>
    </w:p>
    <w:p w14:paraId="767614F2" w14:textId="77777777" w:rsidR="00B81C17" w:rsidRPr="00B81C17" w:rsidRDefault="00B81C17" w:rsidP="008D6650">
      <w:pPr>
        <w:jc w:val="both"/>
        <w:rPr>
          <w:color w:val="76923C" w:themeColor="accent3" w:themeShade="BF"/>
        </w:rPr>
      </w:pPr>
      <w:r w:rsidRPr="00B81C17">
        <w:rPr>
          <w:color w:val="76923C" w:themeColor="accent3" w:themeShade="BF"/>
        </w:rPr>
        <w:lastRenderedPageBreak/>
        <w:t>Il s’agit d’identifier la période nécessaire pour s’assurer que chaque personne incluse réponde bien aux critères d’inclusion. Pour éviter les biais de suivi différentiel, il est préférable de considérer un délai. Ce délai peut être à cheval par rapport à la date d’inclusion de la personne lorsqu’un évènement nécessaire à l’inclusion est postérieur à la date d’inclusion. Attention dans ce cas de bien s’assurer que l’évènement postérieur n’influence pas le critère de jugement.</w:t>
      </w:r>
    </w:p>
    <w:p w14:paraId="2B0E7C48" w14:textId="77777777" w:rsidR="00B81C17" w:rsidRPr="00B81C17" w:rsidRDefault="00B81C17" w:rsidP="008D6650">
      <w:pPr>
        <w:jc w:val="both"/>
        <w:rPr>
          <w:color w:val="76923C" w:themeColor="accent3" w:themeShade="BF"/>
        </w:rPr>
      </w:pPr>
      <w:r w:rsidRPr="00B81C17">
        <w:rPr>
          <w:color w:val="76923C" w:themeColor="accent3" w:themeShade="BF"/>
        </w:rPr>
        <w:t>Exemples</w:t>
      </w:r>
      <w:r w:rsidRPr="00B81C17">
        <w:rPr>
          <w:rFonts w:ascii="Cambria" w:hAnsi="Cambria" w:cs="Cambria"/>
          <w:color w:val="76923C" w:themeColor="accent3" w:themeShade="BF"/>
        </w:rPr>
        <w:t> </w:t>
      </w:r>
      <w:r w:rsidRPr="00B81C17">
        <w:rPr>
          <w:color w:val="76923C" w:themeColor="accent3" w:themeShade="BF"/>
        </w:rPr>
        <w:t>:</w:t>
      </w:r>
    </w:p>
    <w:p w14:paraId="65C28D14" w14:textId="77777777" w:rsidR="00B81C17" w:rsidRPr="00B81C17" w:rsidRDefault="00B81C17" w:rsidP="00DA4183">
      <w:pPr>
        <w:pStyle w:val="Paragraphedeliste"/>
        <w:numPr>
          <w:ilvl w:val="0"/>
          <w:numId w:val="20"/>
        </w:numPr>
        <w:jc w:val="both"/>
        <w:rPr>
          <w:color w:val="76923C" w:themeColor="accent3" w:themeShade="BF"/>
        </w:rPr>
      </w:pPr>
      <w:r w:rsidRPr="00B81C17">
        <w:rPr>
          <w:color w:val="76923C" w:themeColor="accent3" w:themeShade="BF"/>
        </w:rPr>
        <w:t xml:space="preserve">Afin de s’assurer que le cas est bien un cas incident, recherche dans les 2 ans (soit 730 jours) précédents la date d’inclusion que la personne n’a pas </w:t>
      </w:r>
      <w:proofErr w:type="gramStart"/>
      <w:r w:rsidRPr="00B81C17">
        <w:rPr>
          <w:color w:val="76923C" w:themeColor="accent3" w:themeShade="BF"/>
        </w:rPr>
        <w:t>eu</w:t>
      </w:r>
      <w:proofErr w:type="gramEnd"/>
      <w:r w:rsidRPr="00B81C17">
        <w:rPr>
          <w:color w:val="76923C" w:themeColor="accent3" w:themeShade="BF"/>
        </w:rPr>
        <w:t xml:space="preserve"> de traitement à visé carcinologique</w:t>
      </w:r>
    </w:p>
    <w:p w14:paraId="05B43E0B" w14:textId="5A5F5917" w:rsidR="00B81C17" w:rsidRPr="00903EBA" w:rsidRDefault="00B81C17" w:rsidP="00DA4183">
      <w:pPr>
        <w:pStyle w:val="Paragraphedeliste"/>
        <w:numPr>
          <w:ilvl w:val="0"/>
          <w:numId w:val="20"/>
        </w:numPr>
        <w:jc w:val="both"/>
        <w:rPr>
          <w:color w:val="76923C" w:themeColor="accent3" w:themeShade="BF"/>
        </w:rPr>
      </w:pPr>
      <w:r w:rsidRPr="00B81C17">
        <w:rPr>
          <w:color w:val="76923C" w:themeColor="accent3" w:themeShade="BF"/>
        </w:rPr>
        <w:t xml:space="preserve">Une étude portant sur le cancer du sein ayant pour date d’inclusion une mammographie, prend en compte des informations relatives </w:t>
      </w:r>
      <w:proofErr w:type="gramStart"/>
      <w:r w:rsidRPr="00B81C17">
        <w:rPr>
          <w:color w:val="76923C" w:themeColor="accent3" w:themeShade="BF"/>
        </w:rPr>
        <w:t>aux hospitalisation</w:t>
      </w:r>
      <w:proofErr w:type="gramEnd"/>
      <w:r w:rsidRPr="00B81C17">
        <w:rPr>
          <w:color w:val="76923C" w:themeColor="accent3" w:themeShade="BF"/>
        </w:rPr>
        <w:t xml:space="preserve"> dans les 3 mois (90 jours) suivant la date de mammographie afin de caractériser le cancer (le diagnostic de cancer n’étant pas associé à l’information disponible relative à la mammographie)</w:t>
      </w:r>
    </w:p>
    <w:p w14:paraId="6EBCE52A" w14:textId="77777777" w:rsidR="00B81C17" w:rsidRPr="00B81C17" w:rsidRDefault="00B81C17" w:rsidP="008D6650">
      <w:pPr>
        <w:jc w:val="both"/>
        <w:rPr>
          <w:rFonts w:ascii="Marianne" w:hAnsi="Marianne"/>
          <w:b/>
          <w:bCs/>
          <w:color w:val="76923C" w:themeColor="accent3" w:themeShade="BF"/>
        </w:rPr>
      </w:pPr>
      <w:r w:rsidRPr="00B81C17">
        <w:rPr>
          <w:rFonts w:ascii="Marianne" w:hAnsi="Marianne"/>
          <w:b/>
          <w:bCs/>
          <w:color w:val="76923C" w:themeColor="accent3" w:themeShade="BF"/>
        </w:rPr>
        <w:t>3/ Période de suivi des personnes</w:t>
      </w:r>
      <w:r w:rsidRPr="00B81C17">
        <w:rPr>
          <w:rFonts w:ascii="Cambria" w:hAnsi="Cambria" w:cs="Cambria"/>
          <w:b/>
          <w:bCs/>
          <w:color w:val="76923C" w:themeColor="accent3" w:themeShade="BF"/>
        </w:rPr>
        <w:t> </w:t>
      </w:r>
      <w:r w:rsidRPr="00B81C17">
        <w:rPr>
          <w:rFonts w:ascii="Marianne" w:hAnsi="Marianne"/>
          <w:b/>
          <w:bCs/>
          <w:color w:val="76923C" w:themeColor="accent3" w:themeShade="BF"/>
        </w:rPr>
        <w:t>: période sur laquelle porte le recueil d’information</w:t>
      </w:r>
      <w:r w:rsidRPr="00B81C17">
        <w:rPr>
          <w:rFonts w:ascii="Marianne" w:hAnsi="Marianne" w:cs="Calibri"/>
          <w:b/>
          <w:bCs/>
          <w:color w:val="76923C" w:themeColor="accent3" w:themeShade="BF"/>
        </w:rPr>
        <w:t>.</w:t>
      </w:r>
    </w:p>
    <w:p w14:paraId="5FB06CCC" w14:textId="77777777" w:rsidR="00B81C17" w:rsidRPr="00B81C17" w:rsidRDefault="00B81C17" w:rsidP="008D6650">
      <w:pPr>
        <w:jc w:val="both"/>
        <w:rPr>
          <w:color w:val="76923C" w:themeColor="accent3" w:themeShade="BF"/>
        </w:rPr>
      </w:pPr>
      <w:r w:rsidRPr="00B81C17">
        <w:rPr>
          <w:color w:val="76923C" w:themeColor="accent3" w:themeShade="BF"/>
        </w:rPr>
        <w:t>Il s’agit de la période de suivi de chaque personne incluse dans l’étude, c’est-à-dire la période nécessaire pour l’établissement des évènements constituant les critères de jugement. Pour éviter des biais de suivi différentiel, il est préférable de considérer une durée à partir de la date d’inclusion. La période de suivi peut être à cheval par rapport à la date d’inclusion de la personne lorsqu’un évènement étudié survient avant l’évènement caractérisant l’inclusion.</w:t>
      </w:r>
    </w:p>
    <w:p w14:paraId="0E4AC7B9" w14:textId="77777777" w:rsidR="00B81C17" w:rsidRPr="00B81C17" w:rsidRDefault="00B81C17" w:rsidP="008D6650">
      <w:pPr>
        <w:jc w:val="both"/>
        <w:rPr>
          <w:color w:val="76923C" w:themeColor="accent3" w:themeShade="BF"/>
        </w:rPr>
      </w:pPr>
      <w:r w:rsidRPr="00B81C17">
        <w:rPr>
          <w:color w:val="76923C" w:themeColor="accent3" w:themeShade="BF"/>
        </w:rPr>
        <w:t>Exemple</w:t>
      </w:r>
      <w:r w:rsidRPr="00B81C17">
        <w:rPr>
          <w:rFonts w:ascii="Cambria" w:hAnsi="Cambria" w:cs="Cambria"/>
          <w:color w:val="76923C" w:themeColor="accent3" w:themeShade="BF"/>
        </w:rPr>
        <w:t> </w:t>
      </w:r>
      <w:r w:rsidRPr="00B81C17">
        <w:rPr>
          <w:color w:val="76923C" w:themeColor="accent3" w:themeShade="BF"/>
        </w:rPr>
        <w:t>:</w:t>
      </w:r>
    </w:p>
    <w:p w14:paraId="65DCB01D" w14:textId="77777777" w:rsidR="00B81C17" w:rsidRPr="00B81C17" w:rsidRDefault="00B81C17" w:rsidP="00DA4183">
      <w:pPr>
        <w:pStyle w:val="Paragraphedeliste"/>
        <w:numPr>
          <w:ilvl w:val="0"/>
          <w:numId w:val="20"/>
        </w:numPr>
        <w:jc w:val="both"/>
        <w:rPr>
          <w:color w:val="76923C" w:themeColor="accent3" w:themeShade="BF"/>
        </w:rPr>
      </w:pPr>
      <w:r w:rsidRPr="00B81C17">
        <w:rPr>
          <w:color w:val="76923C" w:themeColor="accent3" w:themeShade="BF"/>
        </w:rPr>
        <w:t xml:space="preserve">Afin d’étudier </w:t>
      </w:r>
      <w:proofErr w:type="gramStart"/>
      <w:r w:rsidRPr="00B81C17">
        <w:rPr>
          <w:color w:val="76923C" w:themeColor="accent3" w:themeShade="BF"/>
        </w:rPr>
        <w:t>les trajectoire</w:t>
      </w:r>
      <w:proofErr w:type="gramEnd"/>
      <w:r w:rsidRPr="00B81C17">
        <w:rPr>
          <w:color w:val="76923C" w:themeColor="accent3" w:themeShade="BF"/>
        </w:rPr>
        <w:t xml:space="preserve"> thérapeutiques, suivi pendant 3 ans (1 05 jours) à partir de la date d’inclusion de chaque personne</w:t>
      </w:r>
    </w:p>
    <w:p w14:paraId="38863152" w14:textId="555F69FE" w:rsidR="00B81C17" w:rsidRPr="00903EBA" w:rsidRDefault="00B81C17" w:rsidP="00DA4183">
      <w:pPr>
        <w:pStyle w:val="Paragraphedeliste"/>
        <w:numPr>
          <w:ilvl w:val="0"/>
          <w:numId w:val="20"/>
        </w:numPr>
        <w:jc w:val="both"/>
        <w:rPr>
          <w:color w:val="76923C" w:themeColor="accent3" w:themeShade="BF"/>
        </w:rPr>
      </w:pPr>
      <w:r w:rsidRPr="00B81C17">
        <w:rPr>
          <w:color w:val="76923C" w:themeColor="accent3" w:themeShade="BF"/>
        </w:rPr>
        <w:t>Afin d’identifier le parcours de soins des personnes ayant conduit au diagnostic de cancer (la date d’inclusion étant la date de diagnostic), suivi quatre mois (120 jours) avant et deux mois (60 jours) après la date d’inclusion des personnes</w:t>
      </w:r>
    </w:p>
    <w:p w14:paraId="0F1EE58B" w14:textId="77777777" w:rsidR="00B81C17" w:rsidRPr="00B81C17" w:rsidRDefault="00B81C17" w:rsidP="008D6650">
      <w:pPr>
        <w:jc w:val="both"/>
        <w:rPr>
          <w:rFonts w:ascii="Marianne" w:hAnsi="Marianne"/>
          <w:b/>
          <w:bCs/>
          <w:color w:val="76923C" w:themeColor="accent3" w:themeShade="BF"/>
        </w:rPr>
      </w:pPr>
      <w:r w:rsidRPr="00B81C17">
        <w:rPr>
          <w:rFonts w:ascii="Marianne" w:hAnsi="Marianne"/>
          <w:b/>
          <w:bCs/>
          <w:color w:val="76923C" w:themeColor="accent3" w:themeShade="BF"/>
        </w:rPr>
        <w:t xml:space="preserve">4/ Période nécessaire à la qualification de </w:t>
      </w:r>
      <w:proofErr w:type="spellStart"/>
      <w:r w:rsidRPr="00B81C17">
        <w:rPr>
          <w:rFonts w:ascii="Marianne" w:hAnsi="Marianne"/>
          <w:b/>
          <w:bCs/>
          <w:color w:val="76923C" w:themeColor="accent3" w:themeShade="BF"/>
        </w:rPr>
        <w:t>co-facteurs</w:t>
      </w:r>
      <w:proofErr w:type="spellEnd"/>
      <w:r w:rsidRPr="00B81C17">
        <w:rPr>
          <w:rFonts w:ascii="Marianne" w:hAnsi="Marianne"/>
          <w:b/>
          <w:bCs/>
          <w:color w:val="76923C" w:themeColor="accent3" w:themeShade="BF"/>
        </w:rPr>
        <w:t xml:space="preserve"> et des critères de </w:t>
      </w:r>
      <w:proofErr w:type="gramStart"/>
      <w:r w:rsidRPr="00B81C17">
        <w:rPr>
          <w:rFonts w:ascii="Marianne" w:hAnsi="Marianne"/>
          <w:b/>
          <w:bCs/>
          <w:color w:val="76923C" w:themeColor="accent3" w:themeShade="BF"/>
        </w:rPr>
        <w:t xml:space="preserve">suivi </w:t>
      </w:r>
      <w:r w:rsidRPr="00B81C17">
        <w:rPr>
          <w:rFonts w:ascii="Cambria" w:hAnsi="Cambria" w:cs="Cambria"/>
          <w:b/>
          <w:bCs/>
          <w:color w:val="76923C" w:themeColor="accent3" w:themeShade="BF"/>
        </w:rPr>
        <w:t> </w:t>
      </w:r>
      <w:r w:rsidRPr="00B81C17">
        <w:rPr>
          <w:rFonts w:ascii="Marianne" w:hAnsi="Marianne"/>
          <w:b/>
          <w:bCs/>
          <w:color w:val="76923C" w:themeColor="accent3" w:themeShade="BF"/>
        </w:rPr>
        <w:t>:</w:t>
      </w:r>
      <w:proofErr w:type="gramEnd"/>
    </w:p>
    <w:p w14:paraId="2F58B54D" w14:textId="77777777" w:rsidR="00B81C17" w:rsidRPr="00B81C17" w:rsidRDefault="00B81C17" w:rsidP="008D6650">
      <w:pPr>
        <w:jc w:val="both"/>
        <w:rPr>
          <w:color w:val="76923C" w:themeColor="accent3" w:themeShade="BF"/>
        </w:rPr>
      </w:pPr>
      <w:r w:rsidRPr="00B81C17">
        <w:rPr>
          <w:color w:val="76923C" w:themeColor="accent3" w:themeShade="BF"/>
        </w:rPr>
        <w:t>Dans un certain nombre de cas il est nécessaire de reconstituer par des algorithmes des évènements, des indicateurs, des cofacteurs … Il s’agit donc de considérer la période nécessaire à la bonne application des algorithmes. Selon le type d’étude cette période est incluse dans la période de suivi.</w:t>
      </w:r>
    </w:p>
    <w:p w14:paraId="79302076" w14:textId="77777777" w:rsidR="00B81C17" w:rsidRPr="00B81C17" w:rsidRDefault="00B81C17" w:rsidP="008D6650">
      <w:pPr>
        <w:jc w:val="both"/>
        <w:rPr>
          <w:color w:val="76923C" w:themeColor="accent3" w:themeShade="BF"/>
        </w:rPr>
      </w:pPr>
      <w:r w:rsidRPr="00B81C17">
        <w:rPr>
          <w:color w:val="76923C" w:themeColor="accent3" w:themeShade="BF"/>
        </w:rPr>
        <w:t>Exemple</w:t>
      </w:r>
      <w:r w:rsidRPr="00B81C17">
        <w:rPr>
          <w:rFonts w:ascii="Cambria" w:hAnsi="Cambria" w:cs="Cambria"/>
          <w:color w:val="76923C" w:themeColor="accent3" w:themeShade="BF"/>
        </w:rPr>
        <w:t> </w:t>
      </w:r>
      <w:r w:rsidRPr="00B81C17">
        <w:rPr>
          <w:color w:val="76923C" w:themeColor="accent3" w:themeShade="BF"/>
        </w:rPr>
        <w:t>:</w:t>
      </w:r>
    </w:p>
    <w:p w14:paraId="465A58BC" w14:textId="77777777" w:rsidR="00B81C17" w:rsidRPr="00B81C17" w:rsidRDefault="00B81C17" w:rsidP="00DA4183">
      <w:pPr>
        <w:pStyle w:val="Paragraphedeliste"/>
        <w:numPr>
          <w:ilvl w:val="0"/>
          <w:numId w:val="20"/>
        </w:numPr>
        <w:jc w:val="both"/>
        <w:rPr>
          <w:color w:val="76923C" w:themeColor="accent3" w:themeShade="BF"/>
        </w:rPr>
      </w:pPr>
      <w:r w:rsidRPr="00B81C17">
        <w:rPr>
          <w:color w:val="76923C" w:themeColor="accent3" w:themeShade="BF"/>
        </w:rPr>
        <w:t xml:space="preserve">Afin de caractériser l’existence d’un diabète </w:t>
      </w:r>
      <w:proofErr w:type="spellStart"/>
      <w:r w:rsidRPr="00B81C17">
        <w:rPr>
          <w:color w:val="76923C" w:themeColor="accent3" w:themeShade="BF"/>
        </w:rPr>
        <w:t>insulinorequérant</w:t>
      </w:r>
      <w:proofErr w:type="spellEnd"/>
      <w:r w:rsidRPr="00B81C17">
        <w:rPr>
          <w:color w:val="76923C" w:themeColor="accent3" w:themeShade="BF"/>
        </w:rPr>
        <w:t xml:space="preserve"> au moment du diagnostic, un recul de 6 mois (180 jours) par rapport à la date d’inclusion est nécessaire. Il permet d’identifier les soins (traitements, hospitalisations, …) caractéristiques</w:t>
      </w:r>
    </w:p>
    <w:p w14:paraId="130B0688" w14:textId="77777777" w:rsidR="00B81C17" w:rsidRPr="00B81C17" w:rsidRDefault="00B81C17" w:rsidP="008D6650">
      <w:pPr>
        <w:jc w:val="both"/>
        <w:rPr>
          <w:color w:val="76923C" w:themeColor="accent3" w:themeShade="BF"/>
        </w:rPr>
      </w:pPr>
    </w:p>
    <w:p w14:paraId="290647E7" w14:textId="77777777" w:rsidR="00B81C17" w:rsidRPr="00B81C17" w:rsidRDefault="00B81C17" w:rsidP="008D6650">
      <w:pPr>
        <w:jc w:val="both"/>
        <w:rPr>
          <w:rFonts w:ascii="Marianne" w:hAnsi="Marianne" w:cs="Calibri"/>
          <w:b/>
          <w:bCs/>
          <w:color w:val="76923C" w:themeColor="accent3" w:themeShade="BF"/>
        </w:rPr>
      </w:pPr>
      <w:r w:rsidRPr="00B81C17">
        <w:rPr>
          <w:rFonts w:ascii="Marianne" w:hAnsi="Marianne"/>
          <w:b/>
          <w:bCs/>
          <w:color w:val="76923C" w:themeColor="accent3" w:themeShade="BF"/>
        </w:rPr>
        <w:lastRenderedPageBreak/>
        <w:t>5/ Période d’extraction (ou historique des données cf. définition HDH</w:t>
      </w:r>
      <w:r w:rsidRPr="00B81C17">
        <w:rPr>
          <w:rFonts w:ascii="Marianne" w:hAnsi="Marianne" w:cs="Calibri"/>
          <w:b/>
          <w:bCs/>
          <w:color w:val="76923C" w:themeColor="accent3" w:themeShade="BF"/>
        </w:rPr>
        <w:t>)</w:t>
      </w:r>
      <w:r w:rsidRPr="00B81C17">
        <w:rPr>
          <w:rFonts w:ascii="Cambria" w:hAnsi="Cambria" w:cs="Cambria"/>
          <w:b/>
          <w:bCs/>
          <w:color w:val="76923C" w:themeColor="accent3" w:themeShade="BF"/>
        </w:rPr>
        <w:t> </w:t>
      </w:r>
      <w:r w:rsidRPr="00B81C17">
        <w:rPr>
          <w:rFonts w:ascii="Marianne" w:hAnsi="Marianne" w:cs="Calibri"/>
          <w:b/>
          <w:bCs/>
          <w:color w:val="76923C" w:themeColor="accent3" w:themeShade="BF"/>
        </w:rPr>
        <w:t>:</w:t>
      </w:r>
    </w:p>
    <w:p w14:paraId="582BA0FE" w14:textId="5F83D18A" w:rsidR="00B81C17" w:rsidRPr="00903EBA" w:rsidRDefault="00B81C17" w:rsidP="008D6650">
      <w:pPr>
        <w:jc w:val="both"/>
        <w:rPr>
          <w:rFonts w:cs="Calibri"/>
          <w:color w:val="76923C" w:themeColor="accent3" w:themeShade="BF"/>
        </w:rPr>
      </w:pPr>
      <w:r w:rsidRPr="00B81C17">
        <w:rPr>
          <w:rFonts w:cs="Calibri"/>
          <w:color w:val="76923C" w:themeColor="accent3" w:themeShade="BF"/>
        </w:rPr>
        <w:t xml:space="preserve">Période qui couvre toutes les données nécessaires à l’étude, le cas échéant du début de la période nécessaire à la qualification des critères d’inclusion, jusqu’à la fin de la période nécessaire à la qualification de </w:t>
      </w:r>
      <w:proofErr w:type="spellStart"/>
      <w:r w:rsidRPr="00B81C17">
        <w:rPr>
          <w:rFonts w:cs="Calibri"/>
          <w:color w:val="76923C" w:themeColor="accent3" w:themeShade="BF"/>
        </w:rPr>
        <w:t>co-facteurs</w:t>
      </w:r>
      <w:proofErr w:type="spellEnd"/>
      <w:r w:rsidRPr="00B81C17">
        <w:rPr>
          <w:rFonts w:cs="Calibri"/>
          <w:color w:val="76923C" w:themeColor="accent3" w:themeShade="BF"/>
        </w:rPr>
        <w:t xml:space="preserve"> et des critères de suivi.</w:t>
      </w:r>
    </w:p>
    <w:p w14:paraId="1CCC179A" w14:textId="77777777" w:rsidR="00B81C17" w:rsidRPr="00B81C17" w:rsidRDefault="00B81C17" w:rsidP="008D6650">
      <w:pPr>
        <w:jc w:val="both"/>
        <w:rPr>
          <w:color w:val="76923C" w:themeColor="accent3" w:themeShade="BF"/>
        </w:rPr>
      </w:pPr>
      <w:r w:rsidRPr="00B81C17">
        <w:rPr>
          <w:color w:val="76923C" w:themeColor="accent3" w:themeShade="BF"/>
        </w:rPr>
        <w:t>Point d’attention</w:t>
      </w:r>
      <w:r w:rsidRPr="00B81C17">
        <w:rPr>
          <w:rFonts w:ascii="Cambria" w:hAnsi="Cambria" w:cs="Cambria"/>
          <w:color w:val="76923C" w:themeColor="accent3" w:themeShade="BF"/>
        </w:rPr>
        <w:t> </w:t>
      </w:r>
      <w:r w:rsidRPr="00B81C17">
        <w:rPr>
          <w:color w:val="76923C" w:themeColor="accent3" w:themeShade="BF"/>
        </w:rPr>
        <w:t>: Délai pour l’obtention et la mise à disposition des données</w:t>
      </w:r>
    </w:p>
    <w:p w14:paraId="5CB234ED" w14:textId="77777777" w:rsidR="00B81C17" w:rsidRPr="00B81C17" w:rsidRDefault="00B81C17" w:rsidP="008D6650">
      <w:pPr>
        <w:jc w:val="both"/>
        <w:rPr>
          <w:color w:val="76923C" w:themeColor="accent3" w:themeShade="BF"/>
        </w:rPr>
      </w:pPr>
      <w:r w:rsidRPr="00B81C17">
        <w:rPr>
          <w:color w:val="76923C" w:themeColor="accent3" w:themeShade="BF"/>
        </w:rPr>
        <w:t>Les bases de données sont actualisées périodiquement (généralement annuellement). Lors de la conception de l’étude, il faut donc s’assurer que les délais et périodes identifiées dans le cadre du protocole soient compatibles.</w:t>
      </w:r>
    </w:p>
    <w:p w14:paraId="3BA55AF7" w14:textId="77777777" w:rsidR="00966210" w:rsidRDefault="00966210" w:rsidP="008D6650">
      <w:pPr>
        <w:jc w:val="both"/>
        <w:rPr>
          <w:color w:val="76923C" w:themeColor="accent3" w:themeShade="BF"/>
        </w:rPr>
      </w:pPr>
    </w:p>
    <w:p w14:paraId="519F7AAA" w14:textId="77777777" w:rsidR="00B81C17" w:rsidRDefault="00B81C17" w:rsidP="008D6650">
      <w:pPr>
        <w:jc w:val="both"/>
        <w:rPr>
          <w:color w:val="76923C" w:themeColor="accent3" w:themeShade="BF"/>
        </w:rPr>
      </w:pPr>
      <w:r>
        <w:rPr>
          <w:noProof/>
          <w:color w:val="9BBB59" w:themeColor="accent3"/>
          <w:lang w:eastAsia="fr-FR"/>
        </w:rPr>
        <w:drawing>
          <wp:inline distT="0" distB="0" distL="0" distR="0" wp14:anchorId="56112079" wp14:editId="6A17A888">
            <wp:extent cx="5760720" cy="2663190"/>
            <wp:effectExtent l="0" t="0" r="508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a:extLst>
                        <a:ext uri="{28A0092B-C50C-407E-A947-70E740481C1C}">
                          <a14:useLocalDpi xmlns:a14="http://schemas.microsoft.com/office/drawing/2010/main" val="0"/>
                        </a:ext>
                      </a:extLst>
                    </a:blip>
                    <a:stretch>
                      <a:fillRect/>
                    </a:stretch>
                  </pic:blipFill>
                  <pic:spPr>
                    <a:xfrm>
                      <a:off x="0" y="0"/>
                      <a:ext cx="5760720" cy="2663190"/>
                    </a:xfrm>
                    <a:prstGeom prst="rect">
                      <a:avLst/>
                    </a:prstGeom>
                  </pic:spPr>
                </pic:pic>
              </a:graphicData>
            </a:graphic>
          </wp:inline>
        </w:drawing>
      </w:r>
    </w:p>
    <w:p w14:paraId="6E31A9CA" w14:textId="77777777" w:rsidR="00FF023E" w:rsidRDefault="00FF023E" w:rsidP="008D6650">
      <w:pPr>
        <w:jc w:val="both"/>
        <w:rPr>
          <w:color w:val="76923C" w:themeColor="accent3" w:themeShade="BF"/>
        </w:rPr>
      </w:pPr>
    </w:p>
    <w:p w14:paraId="70ACB7F3" w14:textId="77777777" w:rsidR="00954E93" w:rsidRPr="00954E93" w:rsidRDefault="00954E93" w:rsidP="00954E93">
      <w:pPr>
        <w:jc w:val="both"/>
        <w:rPr>
          <w:rFonts w:ascii="Marianne" w:hAnsi="Marianne"/>
          <w:b/>
          <w:bCs/>
        </w:rPr>
      </w:pPr>
      <w:r w:rsidRPr="00954E93">
        <w:rPr>
          <w:rFonts w:ascii="Marianne" w:hAnsi="Marianne"/>
          <w:b/>
          <w:bCs/>
        </w:rPr>
        <w:t>Matrice de responsabilité</w:t>
      </w:r>
    </w:p>
    <w:p w14:paraId="2D19DFC9" w14:textId="77777777" w:rsidR="00954E93" w:rsidRPr="00954E93" w:rsidRDefault="00954E93" w:rsidP="00954E93">
      <w:pPr>
        <w:jc w:val="both"/>
        <w:rPr>
          <w:rFonts w:cs="Calibri"/>
        </w:rPr>
      </w:pPr>
      <w:r w:rsidRPr="00954E93">
        <w:rPr>
          <w:rFonts w:cs="Calibri"/>
        </w:rPr>
        <w:t xml:space="preserve">Une matrice de responsabilité ci-dessous permet de définir avec l’Institut le rôle de chaque partie dans le projet : </w:t>
      </w:r>
    </w:p>
    <w:tbl>
      <w:tblPr>
        <w:tblStyle w:val="Grilledutableau"/>
        <w:tblW w:w="9889" w:type="dxa"/>
        <w:tblLook w:val="04A0" w:firstRow="1" w:lastRow="0" w:firstColumn="1" w:lastColumn="0" w:noHBand="0" w:noVBand="1"/>
      </w:tblPr>
      <w:tblGrid>
        <w:gridCol w:w="562"/>
        <w:gridCol w:w="4622"/>
        <w:gridCol w:w="895"/>
        <w:gridCol w:w="809"/>
        <w:gridCol w:w="790"/>
        <w:gridCol w:w="2211"/>
      </w:tblGrid>
      <w:tr w:rsidR="00954E93" w:rsidRPr="00954E93" w14:paraId="3E75F9A1" w14:textId="77777777" w:rsidTr="00954E93">
        <w:trPr>
          <w:trHeight w:val="709"/>
        </w:trPr>
        <w:tc>
          <w:tcPr>
            <w:tcW w:w="9889" w:type="dxa"/>
            <w:gridSpan w:val="6"/>
            <w:noWrap/>
            <w:vAlign w:val="center"/>
            <w:hideMark/>
          </w:tcPr>
          <w:p w14:paraId="54AAFB42" w14:textId="4AC2FF0F" w:rsidR="00954E93" w:rsidRPr="00954E93" w:rsidRDefault="00954E93" w:rsidP="00954E93">
            <w:pPr>
              <w:jc w:val="center"/>
              <w:rPr>
                <w:rFonts w:cs="Calibri"/>
              </w:rPr>
            </w:pPr>
            <w:r w:rsidRPr="00954E93">
              <w:rPr>
                <w:rFonts w:cs="Calibri"/>
              </w:rPr>
              <w:t>AIDE A LA DETERMINATION DE LA CO-RESPONSABILITE DE TRAITEMENT DES DONNEES A CARACTERE PERSONNEL</w:t>
            </w:r>
          </w:p>
        </w:tc>
      </w:tr>
      <w:tr w:rsidR="00954E93" w:rsidRPr="00954E93" w14:paraId="62A99B66" w14:textId="77777777" w:rsidTr="00954E93">
        <w:trPr>
          <w:trHeight w:val="412"/>
        </w:trPr>
        <w:tc>
          <w:tcPr>
            <w:tcW w:w="562" w:type="dxa"/>
            <w:hideMark/>
          </w:tcPr>
          <w:p w14:paraId="4EF6697B" w14:textId="77777777" w:rsidR="00954E93" w:rsidRPr="00954E93" w:rsidRDefault="00954E93" w:rsidP="006831B2">
            <w:pPr>
              <w:jc w:val="both"/>
              <w:rPr>
                <w:rFonts w:cs="Calibri"/>
              </w:rPr>
            </w:pPr>
            <w:r w:rsidRPr="00954E93">
              <w:rPr>
                <w:rFonts w:cs="Calibri"/>
              </w:rPr>
              <w:t> </w:t>
            </w:r>
          </w:p>
        </w:tc>
        <w:tc>
          <w:tcPr>
            <w:tcW w:w="4622" w:type="dxa"/>
            <w:hideMark/>
          </w:tcPr>
          <w:p w14:paraId="5E398546" w14:textId="77777777" w:rsidR="00954E93" w:rsidRPr="00954E93" w:rsidRDefault="00954E93" w:rsidP="006831B2">
            <w:pPr>
              <w:jc w:val="both"/>
              <w:rPr>
                <w:rFonts w:cs="Calibri"/>
              </w:rPr>
            </w:pPr>
            <w:r w:rsidRPr="00954E93">
              <w:rPr>
                <w:rFonts w:cs="Calibri"/>
              </w:rPr>
              <w:t>Critères</w:t>
            </w:r>
          </w:p>
        </w:tc>
        <w:tc>
          <w:tcPr>
            <w:tcW w:w="895" w:type="dxa"/>
            <w:hideMark/>
          </w:tcPr>
          <w:p w14:paraId="5FBAB65B" w14:textId="77777777" w:rsidR="00954E93" w:rsidRPr="00954E93" w:rsidRDefault="00954E93" w:rsidP="006831B2">
            <w:pPr>
              <w:jc w:val="both"/>
              <w:rPr>
                <w:rFonts w:cs="Calibri"/>
              </w:rPr>
            </w:pPr>
            <w:proofErr w:type="spellStart"/>
            <w:r w:rsidRPr="00954E93">
              <w:rPr>
                <w:rFonts w:cs="Calibri"/>
              </w:rPr>
              <w:t>INCa</w:t>
            </w:r>
            <w:proofErr w:type="spellEnd"/>
          </w:p>
        </w:tc>
        <w:tc>
          <w:tcPr>
            <w:tcW w:w="809" w:type="dxa"/>
            <w:hideMark/>
          </w:tcPr>
          <w:p w14:paraId="18F2986D" w14:textId="77777777" w:rsidR="00954E93" w:rsidRPr="00954E93" w:rsidRDefault="00954E93" w:rsidP="006831B2">
            <w:pPr>
              <w:jc w:val="both"/>
              <w:rPr>
                <w:rFonts w:cs="Calibri"/>
              </w:rPr>
            </w:pPr>
            <w:r w:rsidRPr="00954E93">
              <w:rPr>
                <w:rFonts w:cs="Calibri"/>
              </w:rPr>
              <w:t>XXX</w:t>
            </w:r>
          </w:p>
        </w:tc>
        <w:tc>
          <w:tcPr>
            <w:tcW w:w="790" w:type="dxa"/>
            <w:hideMark/>
          </w:tcPr>
          <w:p w14:paraId="2DCE5F7F" w14:textId="77777777" w:rsidR="00954E93" w:rsidRPr="00954E93" w:rsidRDefault="00954E93" w:rsidP="006831B2">
            <w:pPr>
              <w:jc w:val="both"/>
              <w:rPr>
                <w:rFonts w:cs="Calibri"/>
              </w:rPr>
            </w:pPr>
            <w:r w:rsidRPr="00954E93">
              <w:rPr>
                <w:rFonts w:cs="Calibri"/>
              </w:rPr>
              <w:t>XXX</w:t>
            </w:r>
          </w:p>
        </w:tc>
        <w:tc>
          <w:tcPr>
            <w:tcW w:w="2211" w:type="dxa"/>
            <w:hideMark/>
          </w:tcPr>
          <w:p w14:paraId="61325311" w14:textId="77777777" w:rsidR="00954E93" w:rsidRPr="00954E93" w:rsidRDefault="00954E93" w:rsidP="006831B2">
            <w:pPr>
              <w:jc w:val="both"/>
              <w:rPr>
                <w:rFonts w:cs="Calibri"/>
              </w:rPr>
            </w:pPr>
            <w:r w:rsidRPr="00954E93">
              <w:rPr>
                <w:rFonts w:cs="Calibri"/>
              </w:rPr>
              <w:t>Commentaires</w:t>
            </w:r>
          </w:p>
        </w:tc>
      </w:tr>
      <w:tr w:rsidR="00954E93" w:rsidRPr="00954E93" w14:paraId="361EABF9" w14:textId="77777777" w:rsidTr="00954E93">
        <w:trPr>
          <w:trHeight w:val="510"/>
        </w:trPr>
        <w:tc>
          <w:tcPr>
            <w:tcW w:w="562" w:type="dxa"/>
            <w:hideMark/>
          </w:tcPr>
          <w:p w14:paraId="1FBB8B4C" w14:textId="77777777" w:rsidR="00954E93" w:rsidRPr="00954E93" w:rsidRDefault="00954E93" w:rsidP="006831B2">
            <w:pPr>
              <w:jc w:val="both"/>
              <w:rPr>
                <w:rFonts w:cs="Calibri"/>
              </w:rPr>
            </w:pPr>
            <w:r w:rsidRPr="00954E93">
              <w:rPr>
                <w:rFonts w:cs="Calibri"/>
              </w:rPr>
              <w:t>1</w:t>
            </w:r>
          </w:p>
        </w:tc>
        <w:tc>
          <w:tcPr>
            <w:tcW w:w="4622" w:type="dxa"/>
            <w:hideMark/>
          </w:tcPr>
          <w:p w14:paraId="78DBA405" w14:textId="77777777" w:rsidR="00954E93" w:rsidRPr="00954E93" w:rsidRDefault="00954E93" w:rsidP="006831B2">
            <w:pPr>
              <w:jc w:val="both"/>
              <w:rPr>
                <w:rFonts w:cs="Calibri"/>
              </w:rPr>
            </w:pPr>
            <w:r w:rsidRPr="00954E93">
              <w:rPr>
                <w:rFonts w:cs="Calibri"/>
              </w:rPr>
              <w:t>Initiative de mener le traitement des données</w:t>
            </w:r>
          </w:p>
        </w:tc>
        <w:tc>
          <w:tcPr>
            <w:tcW w:w="895" w:type="dxa"/>
            <w:hideMark/>
          </w:tcPr>
          <w:p w14:paraId="1D30439D" w14:textId="77777777" w:rsidR="00954E93" w:rsidRPr="00954E93" w:rsidRDefault="00954E93" w:rsidP="006831B2">
            <w:pPr>
              <w:jc w:val="both"/>
              <w:rPr>
                <w:rFonts w:cs="Calibri"/>
              </w:rPr>
            </w:pPr>
            <w:r w:rsidRPr="00954E93">
              <w:rPr>
                <w:rFonts w:cs="Calibri"/>
              </w:rPr>
              <w:t> </w:t>
            </w:r>
          </w:p>
        </w:tc>
        <w:tc>
          <w:tcPr>
            <w:tcW w:w="809" w:type="dxa"/>
            <w:hideMark/>
          </w:tcPr>
          <w:p w14:paraId="5F9E91CF" w14:textId="77777777" w:rsidR="00954E93" w:rsidRPr="00954E93" w:rsidRDefault="00954E93" w:rsidP="006831B2">
            <w:pPr>
              <w:jc w:val="both"/>
              <w:rPr>
                <w:rFonts w:cs="Calibri"/>
              </w:rPr>
            </w:pPr>
            <w:r w:rsidRPr="00954E93">
              <w:rPr>
                <w:rFonts w:cs="Calibri"/>
              </w:rPr>
              <w:t> </w:t>
            </w:r>
          </w:p>
        </w:tc>
        <w:tc>
          <w:tcPr>
            <w:tcW w:w="790" w:type="dxa"/>
            <w:hideMark/>
          </w:tcPr>
          <w:p w14:paraId="614C9FBE" w14:textId="77777777" w:rsidR="00954E93" w:rsidRPr="00954E93" w:rsidRDefault="00954E93" w:rsidP="006831B2">
            <w:pPr>
              <w:jc w:val="both"/>
              <w:rPr>
                <w:rFonts w:cs="Calibri"/>
              </w:rPr>
            </w:pPr>
            <w:r w:rsidRPr="00954E93">
              <w:rPr>
                <w:rFonts w:cs="Calibri"/>
              </w:rPr>
              <w:t> </w:t>
            </w:r>
          </w:p>
        </w:tc>
        <w:tc>
          <w:tcPr>
            <w:tcW w:w="2211" w:type="dxa"/>
            <w:noWrap/>
            <w:hideMark/>
          </w:tcPr>
          <w:p w14:paraId="53992B4B" w14:textId="77777777" w:rsidR="00954E93" w:rsidRPr="00954E93" w:rsidRDefault="00954E93" w:rsidP="006831B2">
            <w:pPr>
              <w:jc w:val="both"/>
              <w:rPr>
                <w:rFonts w:cs="Calibri"/>
              </w:rPr>
            </w:pPr>
            <w:r w:rsidRPr="00954E93">
              <w:rPr>
                <w:rFonts w:cs="Calibri"/>
              </w:rPr>
              <w:t> </w:t>
            </w:r>
          </w:p>
        </w:tc>
      </w:tr>
      <w:tr w:rsidR="00954E93" w:rsidRPr="00954E93" w14:paraId="4061B698" w14:textId="77777777" w:rsidTr="00954E93">
        <w:trPr>
          <w:trHeight w:val="1460"/>
        </w:trPr>
        <w:tc>
          <w:tcPr>
            <w:tcW w:w="562" w:type="dxa"/>
            <w:hideMark/>
          </w:tcPr>
          <w:p w14:paraId="51B82D1F" w14:textId="77777777" w:rsidR="00954E93" w:rsidRPr="00954E93" w:rsidRDefault="00954E93" w:rsidP="006831B2">
            <w:pPr>
              <w:jc w:val="both"/>
              <w:rPr>
                <w:rFonts w:cs="Calibri"/>
              </w:rPr>
            </w:pPr>
            <w:r w:rsidRPr="00954E93">
              <w:rPr>
                <w:rFonts w:cs="Calibri"/>
              </w:rPr>
              <w:t>2</w:t>
            </w:r>
          </w:p>
        </w:tc>
        <w:tc>
          <w:tcPr>
            <w:tcW w:w="4622" w:type="dxa"/>
            <w:hideMark/>
          </w:tcPr>
          <w:p w14:paraId="21A7EAE9" w14:textId="77777777" w:rsidR="00954E93" w:rsidRPr="00954E93" w:rsidRDefault="00954E93" w:rsidP="006831B2">
            <w:pPr>
              <w:jc w:val="both"/>
              <w:rPr>
                <w:rFonts w:cs="Calibri"/>
              </w:rPr>
            </w:pPr>
            <w:r w:rsidRPr="00954E93">
              <w:rPr>
                <w:rFonts w:cs="Calibri"/>
              </w:rPr>
              <w:t xml:space="preserve">Détermination des finalités du traitement (qui a décidé de la mise en œuvre du traitement, du « pourquoi » le traitement est mis en place, de ses objectifs, du résultat attendu, des éléments </w:t>
            </w:r>
            <w:r w:rsidRPr="00954E93">
              <w:rPr>
                <w:rFonts w:cs="Calibri"/>
              </w:rPr>
              <w:lastRenderedPageBreak/>
              <w:t>de cadrage)</w:t>
            </w:r>
          </w:p>
        </w:tc>
        <w:tc>
          <w:tcPr>
            <w:tcW w:w="895" w:type="dxa"/>
            <w:hideMark/>
          </w:tcPr>
          <w:p w14:paraId="41EBAEA8" w14:textId="77777777" w:rsidR="00954E93" w:rsidRPr="00954E93" w:rsidRDefault="00954E93" w:rsidP="006831B2">
            <w:pPr>
              <w:jc w:val="both"/>
              <w:rPr>
                <w:rFonts w:cs="Calibri"/>
              </w:rPr>
            </w:pPr>
            <w:r w:rsidRPr="00954E93">
              <w:rPr>
                <w:rFonts w:cs="Calibri"/>
              </w:rPr>
              <w:lastRenderedPageBreak/>
              <w:t> </w:t>
            </w:r>
          </w:p>
        </w:tc>
        <w:tc>
          <w:tcPr>
            <w:tcW w:w="809" w:type="dxa"/>
            <w:hideMark/>
          </w:tcPr>
          <w:p w14:paraId="09983DD9" w14:textId="77777777" w:rsidR="00954E93" w:rsidRPr="00954E93" w:rsidRDefault="00954E93" w:rsidP="006831B2">
            <w:pPr>
              <w:jc w:val="both"/>
              <w:rPr>
                <w:rFonts w:cs="Calibri"/>
              </w:rPr>
            </w:pPr>
            <w:r w:rsidRPr="00954E93">
              <w:rPr>
                <w:rFonts w:cs="Calibri"/>
              </w:rPr>
              <w:t> </w:t>
            </w:r>
          </w:p>
        </w:tc>
        <w:tc>
          <w:tcPr>
            <w:tcW w:w="790" w:type="dxa"/>
            <w:hideMark/>
          </w:tcPr>
          <w:p w14:paraId="30896701" w14:textId="77777777" w:rsidR="00954E93" w:rsidRPr="00954E93" w:rsidRDefault="00954E93" w:rsidP="006831B2">
            <w:pPr>
              <w:jc w:val="both"/>
              <w:rPr>
                <w:rFonts w:cs="Calibri"/>
              </w:rPr>
            </w:pPr>
            <w:r w:rsidRPr="00954E93">
              <w:rPr>
                <w:rFonts w:cs="Calibri"/>
              </w:rPr>
              <w:t> </w:t>
            </w:r>
          </w:p>
        </w:tc>
        <w:tc>
          <w:tcPr>
            <w:tcW w:w="2211" w:type="dxa"/>
            <w:noWrap/>
            <w:hideMark/>
          </w:tcPr>
          <w:p w14:paraId="22415B8B" w14:textId="77777777" w:rsidR="00954E93" w:rsidRPr="00954E93" w:rsidRDefault="00954E93" w:rsidP="006831B2">
            <w:pPr>
              <w:jc w:val="both"/>
              <w:rPr>
                <w:rFonts w:cs="Calibri"/>
              </w:rPr>
            </w:pPr>
            <w:r w:rsidRPr="00954E93">
              <w:rPr>
                <w:rFonts w:cs="Calibri"/>
              </w:rPr>
              <w:t> </w:t>
            </w:r>
          </w:p>
        </w:tc>
      </w:tr>
      <w:tr w:rsidR="00954E93" w:rsidRPr="00954E93" w14:paraId="5F804BC0" w14:textId="77777777" w:rsidTr="00954E93">
        <w:trPr>
          <w:trHeight w:val="590"/>
        </w:trPr>
        <w:tc>
          <w:tcPr>
            <w:tcW w:w="562" w:type="dxa"/>
            <w:hideMark/>
          </w:tcPr>
          <w:p w14:paraId="7FA6A98D" w14:textId="77777777" w:rsidR="00954E93" w:rsidRPr="00954E93" w:rsidRDefault="00954E93" w:rsidP="006831B2">
            <w:pPr>
              <w:jc w:val="both"/>
              <w:rPr>
                <w:rFonts w:cs="Calibri"/>
              </w:rPr>
            </w:pPr>
            <w:r w:rsidRPr="00954E93">
              <w:rPr>
                <w:rFonts w:cs="Calibri"/>
              </w:rPr>
              <w:lastRenderedPageBreak/>
              <w:t>3</w:t>
            </w:r>
          </w:p>
        </w:tc>
        <w:tc>
          <w:tcPr>
            <w:tcW w:w="4622" w:type="dxa"/>
            <w:hideMark/>
          </w:tcPr>
          <w:p w14:paraId="37C3793D" w14:textId="77777777" w:rsidR="00954E93" w:rsidRPr="00954E93" w:rsidRDefault="00954E93" w:rsidP="006831B2">
            <w:pPr>
              <w:jc w:val="both"/>
              <w:rPr>
                <w:rFonts w:cs="Calibri"/>
              </w:rPr>
            </w:pPr>
            <w:r w:rsidRPr="00954E93">
              <w:rPr>
                <w:rFonts w:cs="Calibri"/>
              </w:rPr>
              <w:t>Détermination des sources de données nécessaires</w:t>
            </w:r>
          </w:p>
        </w:tc>
        <w:tc>
          <w:tcPr>
            <w:tcW w:w="895" w:type="dxa"/>
            <w:hideMark/>
          </w:tcPr>
          <w:p w14:paraId="610EEC1B" w14:textId="77777777" w:rsidR="00954E93" w:rsidRPr="00954E93" w:rsidRDefault="00954E93" w:rsidP="006831B2">
            <w:pPr>
              <w:jc w:val="both"/>
              <w:rPr>
                <w:rFonts w:cs="Calibri"/>
              </w:rPr>
            </w:pPr>
            <w:r w:rsidRPr="00954E93">
              <w:rPr>
                <w:rFonts w:cs="Calibri"/>
              </w:rPr>
              <w:t> </w:t>
            </w:r>
          </w:p>
        </w:tc>
        <w:tc>
          <w:tcPr>
            <w:tcW w:w="809" w:type="dxa"/>
            <w:hideMark/>
          </w:tcPr>
          <w:p w14:paraId="1484A493" w14:textId="77777777" w:rsidR="00954E93" w:rsidRPr="00954E93" w:rsidRDefault="00954E93" w:rsidP="006831B2">
            <w:pPr>
              <w:jc w:val="both"/>
              <w:rPr>
                <w:rFonts w:cs="Calibri"/>
              </w:rPr>
            </w:pPr>
            <w:r w:rsidRPr="00954E93">
              <w:rPr>
                <w:rFonts w:cs="Calibri"/>
              </w:rPr>
              <w:t> </w:t>
            </w:r>
          </w:p>
        </w:tc>
        <w:tc>
          <w:tcPr>
            <w:tcW w:w="790" w:type="dxa"/>
            <w:hideMark/>
          </w:tcPr>
          <w:p w14:paraId="3FAA49EF" w14:textId="77777777" w:rsidR="00954E93" w:rsidRPr="00954E93" w:rsidRDefault="00954E93" w:rsidP="006831B2">
            <w:pPr>
              <w:jc w:val="both"/>
              <w:rPr>
                <w:rFonts w:cs="Calibri"/>
              </w:rPr>
            </w:pPr>
            <w:r w:rsidRPr="00954E93">
              <w:rPr>
                <w:rFonts w:cs="Calibri"/>
              </w:rPr>
              <w:t> </w:t>
            </w:r>
          </w:p>
        </w:tc>
        <w:tc>
          <w:tcPr>
            <w:tcW w:w="2211" w:type="dxa"/>
            <w:noWrap/>
            <w:hideMark/>
          </w:tcPr>
          <w:p w14:paraId="02E327F3" w14:textId="77777777" w:rsidR="00954E93" w:rsidRPr="00954E93" w:rsidRDefault="00954E93" w:rsidP="006831B2">
            <w:pPr>
              <w:jc w:val="both"/>
              <w:rPr>
                <w:rFonts w:cs="Calibri"/>
              </w:rPr>
            </w:pPr>
            <w:r w:rsidRPr="00954E93">
              <w:rPr>
                <w:rFonts w:cs="Calibri"/>
              </w:rPr>
              <w:t> </w:t>
            </w:r>
          </w:p>
        </w:tc>
      </w:tr>
      <w:tr w:rsidR="00954E93" w:rsidRPr="00954E93" w14:paraId="790BC938" w14:textId="77777777" w:rsidTr="00954E93">
        <w:trPr>
          <w:trHeight w:val="410"/>
        </w:trPr>
        <w:tc>
          <w:tcPr>
            <w:tcW w:w="562" w:type="dxa"/>
            <w:noWrap/>
            <w:hideMark/>
          </w:tcPr>
          <w:p w14:paraId="57E6E09D" w14:textId="77777777" w:rsidR="00954E93" w:rsidRPr="00954E93" w:rsidRDefault="00954E93" w:rsidP="006831B2">
            <w:pPr>
              <w:jc w:val="both"/>
              <w:rPr>
                <w:rFonts w:cs="Calibri"/>
              </w:rPr>
            </w:pPr>
            <w:r w:rsidRPr="00954E93">
              <w:rPr>
                <w:rFonts w:cs="Calibri"/>
              </w:rPr>
              <w:t>4</w:t>
            </w:r>
          </w:p>
        </w:tc>
        <w:tc>
          <w:tcPr>
            <w:tcW w:w="4622" w:type="dxa"/>
            <w:noWrap/>
            <w:hideMark/>
          </w:tcPr>
          <w:p w14:paraId="4F43CC0A" w14:textId="77777777" w:rsidR="00954E93" w:rsidRPr="00954E93" w:rsidRDefault="00954E93" w:rsidP="006831B2">
            <w:pPr>
              <w:jc w:val="both"/>
              <w:rPr>
                <w:rFonts w:cs="Calibri"/>
              </w:rPr>
            </w:pPr>
            <w:r w:rsidRPr="00954E93">
              <w:rPr>
                <w:rFonts w:cs="Calibri"/>
              </w:rPr>
              <w:t>Détermination des données nécessaires</w:t>
            </w:r>
          </w:p>
        </w:tc>
        <w:tc>
          <w:tcPr>
            <w:tcW w:w="895" w:type="dxa"/>
            <w:noWrap/>
            <w:hideMark/>
          </w:tcPr>
          <w:p w14:paraId="76F76FC6" w14:textId="77777777" w:rsidR="00954E93" w:rsidRPr="00954E93" w:rsidRDefault="00954E93" w:rsidP="006831B2">
            <w:pPr>
              <w:jc w:val="both"/>
              <w:rPr>
                <w:rFonts w:cs="Calibri"/>
              </w:rPr>
            </w:pPr>
            <w:r w:rsidRPr="00954E93">
              <w:rPr>
                <w:rFonts w:cs="Calibri"/>
              </w:rPr>
              <w:t> </w:t>
            </w:r>
          </w:p>
        </w:tc>
        <w:tc>
          <w:tcPr>
            <w:tcW w:w="809" w:type="dxa"/>
            <w:noWrap/>
            <w:hideMark/>
          </w:tcPr>
          <w:p w14:paraId="0D87FE76" w14:textId="77777777" w:rsidR="00954E93" w:rsidRPr="00954E93" w:rsidRDefault="00954E93" w:rsidP="006831B2">
            <w:pPr>
              <w:jc w:val="both"/>
              <w:rPr>
                <w:rFonts w:cs="Calibri"/>
              </w:rPr>
            </w:pPr>
            <w:r w:rsidRPr="00954E93">
              <w:rPr>
                <w:rFonts w:cs="Calibri"/>
              </w:rPr>
              <w:t> </w:t>
            </w:r>
          </w:p>
        </w:tc>
        <w:tc>
          <w:tcPr>
            <w:tcW w:w="790" w:type="dxa"/>
            <w:noWrap/>
            <w:hideMark/>
          </w:tcPr>
          <w:p w14:paraId="3539AE57" w14:textId="77777777" w:rsidR="00954E93" w:rsidRPr="00954E93" w:rsidRDefault="00954E93" w:rsidP="006831B2">
            <w:pPr>
              <w:jc w:val="both"/>
              <w:rPr>
                <w:rFonts w:cs="Calibri"/>
              </w:rPr>
            </w:pPr>
            <w:r w:rsidRPr="00954E93">
              <w:rPr>
                <w:rFonts w:cs="Calibri"/>
              </w:rPr>
              <w:t> </w:t>
            </w:r>
          </w:p>
        </w:tc>
        <w:tc>
          <w:tcPr>
            <w:tcW w:w="2211" w:type="dxa"/>
            <w:noWrap/>
            <w:hideMark/>
          </w:tcPr>
          <w:p w14:paraId="00E1FF4C" w14:textId="77777777" w:rsidR="00954E93" w:rsidRPr="00954E93" w:rsidRDefault="00954E93" w:rsidP="006831B2">
            <w:pPr>
              <w:jc w:val="both"/>
              <w:rPr>
                <w:rFonts w:cs="Calibri"/>
              </w:rPr>
            </w:pPr>
            <w:r w:rsidRPr="00954E93">
              <w:rPr>
                <w:rFonts w:cs="Calibri"/>
              </w:rPr>
              <w:t> </w:t>
            </w:r>
          </w:p>
        </w:tc>
      </w:tr>
      <w:tr w:rsidR="00954E93" w:rsidRPr="00954E93" w14:paraId="3F35ED45" w14:textId="77777777" w:rsidTr="00954E93">
        <w:trPr>
          <w:trHeight w:val="460"/>
        </w:trPr>
        <w:tc>
          <w:tcPr>
            <w:tcW w:w="562" w:type="dxa"/>
            <w:noWrap/>
            <w:hideMark/>
          </w:tcPr>
          <w:p w14:paraId="5433558A" w14:textId="77777777" w:rsidR="00954E93" w:rsidRPr="00954E93" w:rsidRDefault="00954E93" w:rsidP="006831B2">
            <w:pPr>
              <w:jc w:val="both"/>
              <w:rPr>
                <w:rFonts w:cs="Calibri"/>
              </w:rPr>
            </w:pPr>
            <w:r w:rsidRPr="00954E93">
              <w:rPr>
                <w:rFonts w:cs="Calibri"/>
              </w:rPr>
              <w:t>5</w:t>
            </w:r>
          </w:p>
        </w:tc>
        <w:tc>
          <w:tcPr>
            <w:tcW w:w="4622" w:type="dxa"/>
            <w:noWrap/>
            <w:hideMark/>
          </w:tcPr>
          <w:p w14:paraId="50657F99" w14:textId="77777777" w:rsidR="00954E93" w:rsidRPr="00954E93" w:rsidRDefault="00954E93" w:rsidP="006831B2">
            <w:pPr>
              <w:jc w:val="both"/>
              <w:rPr>
                <w:rFonts w:cs="Calibri"/>
              </w:rPr>
            </w:pPr>
            <w:r w:rsidRPr="00954E93">
              <w:rPr>
                <w:rFonts w:cs="Calibri"/>
              </w:rPr>
              <w:t>Détermination de la population concernée</w:t>
            </w:r>
          </w:p>
        </w:tc>
        <w:tc>
          <w:tcPr>
            <w:tcW w:w="895" w:type="dxa"/>
            <w:noWrap/>
            <w:hideMark/>
          </w:tcPr>
          <w:p w14:paraId="60DD0312" w14:textId="77777777" w:rsidR="00954E93" w:rsidRPr="00954E93" w:rsidRDefault="00954E93" w:rsidP="006831B2">
            <w:pPr>
              <w:jc w:val="both"/>
              <w:rPr>
                <w:rFonts w:cs="Calibri"/>
              </w:rPr>
            </w:pPr>
            <w:r w:rsidRPr="00954E93">
              <w:rPr>
                <w:rFonts w:cs="Calibri"/>
              </w:rPr>
              <w:t> </w:t>
            </w:r>
          </w:p>
        </w:tc>
        <w:tc>
          <w:tcPr>
            <w:tcW w:w="809" w:type="dxa"/>
            <w:noWrap/>
            <w:hideMark/>
          </w:tcPr>
          <w:p w14:paraId="19CBB85C" w14:textId="77777777" w:rsidR="00954E93" w:rsidRPr="00954E93" w:rsidRDefault="00954E93" w:rsidP="006831B2">
            <w:pPr>
              <w:jc w:val="both"/>
              <w:rPr>
                <w:rFonts w:cs="Calibri"/>
              </w:rPr>
            </w:pPr>
            <w:r w:rsidRPr="00954E93">
              <w:rPr>
                <w:rFonts w:cs="Calibri"/>
              </w:rPr>
              <w:t> </w:t>
            </w:r>
          </w:p>
        </w:tc>
        <w:tc>
          <w:tcPr>
            <w:tcW w:w="790" w:type="dxa"/>
            <w:noWrap/>
            <w:hideMark/>
          </w:tcPr>
          <w:p w14:paraId="376C6DB3" w14:textId="77777777" w:rsidR="00954E93" w:rsidRPr="00954E93" w:rsidRDefault="00954E93" w:rsidP="006831B2">
            <w:pPr>
              <w:jc w:val="both"/>
              <w:rPr>
                <w:rFonts w:cs="Calibri"/>
              </w:rPr>
            </w:pPr>
            <w:r w:rsidRPr="00954E93">
              <w:rPr>
                <w:rFonts w:cs="Calibri"/>
              </w:rPr>
              <w:t> </w:t>
            </w:r>
          </w:p>
        </w:tc>
        <w:tc>
          <w:tcPr>
            <w:tcW w:w="2211" w:type="dxa"/>
            <w:noWrap/>
            <w:hideMark/>
          </w:tcPr>
          <w:p w14:paraId="55B9426B" w14:textId="77777777" w:rsidR="00954E93" w:rsidRPr="00954E93" w:rsidRDefault="00954E93" w:rsidP="006831B2">
            <w:pPr>
              <w:jc w:val="both"/>
              <w:rPr>
                <w:rFonts w:cs="Calibri"/>
              </w:rPr>
            </w:pPr>
            <w:r w:rsidRPr="00954E93">
              <w:rPr>
                <w:rFonts w:cs="Calibri"/>
              </w:rPr>
              <w:t> </w:t>
            </w:r>
          </w:p>
        </w:tc>
      </w:tr>
      <w:tr w:rsidR="00954E93" w:rsidRPr="00954E93" w14:paraId="75FFBA57" w14:textId="77777777" w:rsidTr="00954E93">
        <w:trPr>
          <w:trHeight w:val="1300"/>
        </w:trPr>
        <w:tc>
          <w:tcPr>
            <w:tcW w:w="562" w:type="dxa"/>
            <w:noWrap/>
            <w:hideMark/>
          </w:tcPr>
          <w:p w14:paraId="12DC4736" w14:textId="77777777" w:rsidR="00954E93" w:rsidRPr="00954E93" w:rsidRDefault="00954E93" w:rsidP="006831B2">
            <w:pPr>
              <w:jc w:val="both"/>
              <w:rPr>
                <w:rFonts w:cs="Calibri"/>
              </w:rPr>
            </w:pPr>
            <w:r w:rsidRPr="00954E93">
              <w:rPr>
                <w:rFonts w:cs="Calibri"/>
              </w:rPr>
              <w:t>6</w:t>
            </w:r>
          </w:p>
        </w:tc>
        <w:tc>
          <w:tcPr>
            <w:tcW w:w="4622" w:type="dxa"/>
            <w:hideMark/>
          </w:tcPr>
          <w:p w14:paraId="27A49F9C" w14:textId="77777777" w:rsidR="00954E93" w:rsidRPr="00954E93" w:rsidRDefault="00954E93" w:rsidP="006831B2">
            <w:pPr>
              <w:jc w:val="both"/>
              <w:rPr>
                <w:rFonts w:cs="Calibri"/>
              </w:rPr>
            </w:pPr>
            <w:r w:rsidRPr="00954E93">
              <w:rPr>
                <w:rFonts w:cs="Calibri"/>
              </w:rPr>
              <w:t>Expertise permettant de décider des moyens à mettre en place pour atteinte l’objectif du traitement (autonomie, marge de manœuvre importante)</w:t>
            </w:r>
          </w:p>
        </w:tc>
        <w:tc>
          <w:tcPr>
            <w:tcW w:w="895" w:type="dxa"/>
            <w:noWrap/>
            <w:hideMark/>
          </w:tcPr>
          <w:p w14:paraId="718BF7F7" w14:textId="77777777" w:rsidR="00954E93" w:rsidRPr="00954E93" w:rsidRDefault="00954E93" w:rsidP="006831B2">
            <w:pPr>
              <w:jc w:val="both"/>
              <w:rPr>
                <w:rFonts w:cs="Calibri"/>
              </w:rPr>
            </w:pPr>
            <w:r w:rsidRPr="00954E93">
              <w:rPr>
                <w:rFonts w:cs="Calibri"/>
              </w:rPr>
              <w:t> </w:t>
            </w:r>
          </w:p>
        </w:tc>
        <w:tc>
          <w:tcPr>
            <w:tcW w:w="809" w:type="dxa"/>
            <w:noWrap/>
            <w:hideMark/>
          </w:tcPr>
          <w:p w14:paraId="21B4A5D5" w14:textId="77777777" w:rsidR="00954E93" w:rsidRPr="00954E93" w:rsidRDefault="00954E93" w:rsidP="006831B2">
            <w:pPr>
              <w:jc w:val="both"/>
              <w:rPr>
                <w:rFonts w:cs="Calibri"/>
              </w:rPr>
            </w:pPr>
            <w:r w:rsidRPr="00954E93">
              <w:rPr>
                <w:rFonts w:cs="Calibri"/>
              </w:rPr>
              <w:t> </w:t>
            </w:r>
          </w:p>
        </w:tc>
        <w:tc>
          <w:tcPr>
            <w:tcW w:w="790" w:type="dxa"/>
            <w:noWrap/>
            <w:hideMark/>
          </w:tcPr>
          <w:p w14:paraId="2A4AB3D2" w14:textId="77777777" w:rsidR="00954E93" w:rsidRPr="00954E93" w:rsidRDefault="00954E93" w:rsidP="006831B2">
            <w:pPr>
              <w:jc w:val="both"/>
              <w:rPr>
                <w:rFonts w:cs="Calibri"/>
              </w:rPr>
            </w:pPr>
            <w:r w:rsidRPr="00954E93">
              <w:rPr>
                <w:rFonts w:cs="Calibri"/>
              </w:rPr>
              <w:t> </w:t>
            </w:r>
          </w:p>
        </w:tc>
        <w:tc>
          <w:tcPr>
            <w:tcW w:w="2211" w:type="dxa"/>
            <w:noWrap/>
            <w:hideMark/>
          </w:tcPr>
          <w:p w14:paraId="0EE15828" w14:textId="77777777" w:rsidR="00954E93" w:rsidRPr="00954E93" w:rsidRDefault="00954E93" w:rsidP="006831B2">
            <w:pPr>
              <w:jc w:val="both"/>
              <w:rPr>
                <w:rFonts w:cs="Calibri"/>
              </w:rPr>
            </w:pPr>
            <w:r w:rsidRPr="00954E93">
              <w:rPr>
                <w:rFonts w:cs="Calibri"/>
              </w:rPr>
              <w:t> </w:t>
            </w:r>
          </w:p>
        </w:tc>
      </w:tr>
      <w:tr w:rsidR="00954E93" w:rsidRPr="00954E93" w14:paraId="3259D62E" w14:textId="77777777" w:rsidTr="00954E93">
        <w:trPr>
          <w:trHeight w:val="510"/>
        </w:trPr>
        <w:tc>
          <w:tcPr>
            <w:tcW w:w="562" w:type="dxa"/>
            <w:noWrap/>
            <w:hideMark/>
          </w:tcPr>
          <w:p w14:paraId="6E9C8434" w14:textId="77777777" w:rsidR="00954E93" w:rsidRPr="00954E93" w:rsidRDefault="00954E93" w:rsidP="006831B2">
            <w:pPr>
              <w:jc w:val="both"/>
              <w:rPr>
                <w:rFonts w:cs="Calibri"/>
              </w:rPr>
            </w:pPr>
            <w:r w:rsidRPr="00954E93">
              <w:rPr>
                <w:rFonts w:cs="Calibri"/>
              </w:rPr>
              <w:t>7</w:t>
            </w:r>
          </w:p>
        </w:tc>
        <w:tc>
          <w:tcPr>
            <w:tcW w:w="4622" w:type="dxa"/>
            <w:hideMark/>
          </w:tcPr>
          <w:p w14:paraId="0588AE9D" w14:textId="77777777" w:rsidR="00954E93" w:rsidRPr="00954E93" w:rsidRDefault="00954E93" w:rsidP="006831B2">
            <w:pPr>
              <w:jc w:val="both"/>
              <w:rPr>
                <w:rFonts w:cs="Calibri"/>
              </w:rPr>
            </w:pPr>
            <w:r w:rsidRPr="00954E93">
              <w:rPr>
                <w:rFonts w:cs="Calibri"/>
              </w:rPr>
              <w:t>Détermination de la méthode d'appariement (le cas échéant)</w:t>
            </w:r>
          </w:p>
        </w:tc>
        <w:tc>
          <w:tcPr>
            <w:tcW w:w="895" w:type="dxa"/>
            <w:noWrap/>
            <w:hideMark/>
          </w:tcPr>
          <w:p w14:paraId="679F69EA" w14:textId="77777777" w:rsidR="00954E93" w:rsidRPr="00954E93" w:rsidRDefault="00954E93" w:rsidP="006831B2">
            <w:pPr>
              <w:jc w:val="both"/>
              <w:rPr>
                <w:rFonts w:cs="Calibri"/>
              </w:rPr>
            </w:pPr>
            <w:r w:rsidRPr="00954E93">
              <w:rPr>
                <w:rFonts w:cs="Calibri"/>
              </w:rPr>
              <w:t> </w:t>
            </w:r>
          </w:p>
        </w:tc>
        <w:tc>
          <w:tcPr>
            <w:tcW w:w="809" w:type="dxa"/>
            <w:noWrap/>
            <w:hideMark/>
          </w:tcPr>
          <w:p w14:paraId="69AF2EA4" w14:textId="77777777" w:rsidR="00954E93" w:rsidRPr="00954E93" w:rsidRDefault="00954E93" w:rsidP="006831B2">
            <w:pPr>
              <w:jc w:val="both"/>
              <w:rPr>
                <w:rFonts w:cs="Calibri"/>
              </w:rPr>
            </w:pPr>
            <w:r w:rsidRPr="00954E93">
              <w:rPr>
                <w:rFonts w:cs="Calibri"/>
              </w:rPr>
              <w:t> </w:t>
            </w:r>
          </w:p>
        </w:tc>
        <w:tc>
          <w:tcPr>
            <w:tcW w:w="790" w:type="dxa"/>
            <w:noWrap/>
            <w:hideMark/>
          </w:tcPr>
          <w:p w14:paraId="009D345B" w14:textId="77777777" w:rsidR="00954E93" w:rsidRPr="00954E93" w:rsidRDefault="00954E93" w:rsidP="006831B2">
            <w:pPr>
              <w:jc w:val="both"/>
              <w:rPr>
                <w:rFonts w:cs="Calibri"/>
              </w:rPr>
            </w:pPr>
            <w:r w:rsidRPr="00954E93">
              <w:rPr>
                <w:rFonts w:cs="Calibri"/>
              </w:rPr>
              <w:t> </w:t>
            </w:r>
          </w:p>
        </w:tc>
        <w:tc>
          <w:tcPr>
            <w:tcW w:w="2211" w:type="dxa"/>
            <w:noWrap/>
            <w:hideMark/>
          </w:tcPr>
          <w:p w14:paraId="29EE3451" w14:textId="77777777" w:rsidR="00954E93" w:rsidRPr="00954E93" w:rsidRDefault="00954E93" w:rsidP="006831B2">
            <w:pPr>
              <w:jc w:val="both"/>
              <w:rPr>
                <w:rFonts w:cs="Calibri"/>
              </w:rPr>
            </w:pPr>
            <w:r w:rsidRPr="00954E93">
              <w:rPr>
                <w:rFonts w:cs="Calibri"/>
              </w:rPr>
              <w:t> </w:t>
            </w:r>
          </w:p>
        </w:tc>
      </w:tr>
      <w:tr w:rsidR="00954E93" w:rsidRPr="00954E93" w14:paraId="29054EC3" w14:textId="77777777" w:rsidTr="00954E93">
        <w:trPr>
          <w:trHeight w:val="560"/>
        </w:trPr>
        <w:tc>
          <w:tcPr>
            <w:tcW w:w="562" w:type="dxa"/>
            <w:noWrap/>
            <w:hideMark/>
          </w:tcPr>
          <w:p w14:paraId="3B7A5E04" w14:textId="77777777" w:rsidR="00954E93" w:rsidRPr="00954E93" w:rsidRDefault="00954E93" w:rsidP="006831B2">
            <w:pPr>
              <w:jc w:val="both"/>
              <w:rPr>
                <w:rFonts w:cs="Calibri"/>
              </w:rPr>
            </w:pPr>
            <w:r w:rsidRPr="00954E93">
              <w:rPr>
                <w:rFonts w:cs="Calibri"/>
              </w:rPr>
              <w:t>8</w:t>
            </w:r>
          </w:p>
        </w:tc>
        <w:tc>
          <w:tcPr>
            <w:tcW w:w="4622" w:type="dxa"/>
            <w:noWrap/>
            <w:hideMark/>
          </w:tcPr>
          <w:p w14:paraId="6075A398" w14:textId="77777777" w:rsidR="00954E93" w:rsidRPr="00954E93" w:rsidRDefault="00954E93" w:rsidP="006831B2">
            <w:pPr>
              <w:jc w:val="both"/>
              <w:rPr>
                <w:rFonts w:cs="Calibri"/>
              </w:rPr>
            </w:pPr>
            <w:r w:rsidRPr="00954E93">
              <w:rPr>
                <w:rFonts w:cs="Calibri"/>
              </w:rPr>
              <w:t>Détermination de la méthode d'analyse</w:t>
            </w:r>
          </w:p>
        </w:tc>
        <w:tc>
          <w:tcPr>
            <w:tcW w:w="895" w:type="dxa"/>
            <w:noWrap/>
            <w:hideMark/>
          </w:tcPr>
          <w:p w14:paraId="1C11E22D" w14:textId="77777777" w:rsidR="00954E93" w:rsidRPr="00954E93" w:rsidRDefault="00954E93" w:rsidP="006831B2">
            <w:pPr>
              <w:jc w:val="both"/>
              <w:rPr>
                <w:rFonts w:cs="Calibri"/>
              </w:rPr>
            </w:pPr>
            <w:r w:rsidRPr="00954E93">
              <w:rPr>
                <w:rFonts w:cs="Calibri"/>
              </w:rPr>
              <w:t> </w:t>
            </w:r>
          </w:p>
        </w:tc>
        <w:tc>
          <w:tcPr>
            <w:tcW w:w="809" w:type="dxa"/>
            <w:noWrap/>
            <w:hideMark/>
          </w:tcPr>
          <w:p w14:paraId="751E97A9" w14:textId="77777777" w:rsidR="00954E93" w:rsidRPr="00954E93" w:rsidRDefault="00954E93" w:rsidP="006831B2">
            <w:pPr>
              <w:jc w:val="both"/>
              <w:rPr>
                <w:rFonts w:cs="Calibri"/>
              </w:rPr>
            </w:pPr>
            <w:r w:rsidRPr="00954E93">
              <w:rPr>
                <w:rFonts w:cs="Calibri"/>
              </w:rPr>
              <w:t> </w:t>
            </w:r>
          </w:p>
        </w:tc>
        <w:tc>
          <w:tcPr>
            <w:tcW w:w="790" w:type="dxa"/>
            <w:noWrap/>
            <w:hideMark/>
          </w:tcPr>
          <w:p w14:paraId="31AD1AE4" w14:textId="77777777" w:rsidR="00954E93" w:rsidRPr="00954E93" w:rsidRDefault="00954E93" w:rsidP="006831B2">
            <w:pPr>
              <w:jc w:val="both"/>
              <w:rPr>
                <w:rFonts w:cs="Calibri"/>
              </w:rPr>
            </w:pPr>
            <w:r w:rsidRPr="00954E93">
              <w:rPr>
                <w:rFonts w:cs="Calibri"/>
              </w:rPr>
              <w:t> </w:t>
            </w:r>
          </w:p>
        </w:tc>
        <w:tc>
          <w:tcPr>
            <w:tcW w:w="2211" w:type="dxa"/>
            <w:noWrap/>
            <w:hideMark/>
          </w:tcPr>
          <w:p w14:paraId="58ED7744" w14:textId="77777777" w:rsidR="00954E93" w:rsidRPr="00954E93" w:rsidRDefault="00954E93" w:rsidP="006831B2">
            <w:pPr>
              <w:jc w:val="both"/>
              <w:rPr>
                <w:rFonts w:cs="Calibri"/>
              </w:rPr>
            </w:pPr>
            <w:r w:rsidRPr="00954E93">
              <w:rPr>
                <w:rFonts w:cs="Calibri"/>
              </w:rPr>
              <w:t> </w:t>
            </w:r>
          </w:p>
        </w:tc>
      </w:tr>
      <w:tr w:rsidR="00954E93" w:rsidRPr="00954E93" w14:paraId="70DFBC38" w14:textId="77777777" w:rsidTr="00954E93">
        <w:trPr>
          <w:trHeight w:val="490"/>
        </w:trPr>
        <w:tc>
          <w:tcPr>
            <w:tcW w:w="562" w:type="dxa"/>
            <w:noWrap/>
            <w:hideMark/>
          </w:tcPr>
          <w:p w14:paraId="4BAB4743" w14:textId="77777777" w:rsidR="00954E93" w:rsidRPr="00954E93" w:rsidRDefault="00954E93" w:rsidP="006831B2">
            <w:pPr>
              <w:jc w:val="both"/>
              <w:rPr>
                <w:rFonts w:cs="Calibri"/>
              </w:rPr>
            </w:pPr>
            <w:r w:rsidRPr="00954E93">
              <w:rPr>
                <w:rFonts w:cs="Calibri"/>
              </w:rPr>
              <w:t>9</w:t>
            </w:r>
          </w:p>
        </w:tc>
        <w:tc>
          <w:tcPr>
            <w:tcW w:w="4622" w:type="dxa"/>
            <w:noWrap/>
            <w:hideMark/>
          </w:tcPr>
          <w:p w14:paraId="04D9A691" w14:textId="77777777" w:rsidR="00954E93" w:rsidRPr="00954E93" w:rsidRDefault="00954E93" w:rsidP="006831B2">
            <w:pPr>
              <w:jc w:val="both"/>
              <w:rPr>
                <w:rFonts w:cs="Calibri"/>
              </w:rPr>
            </w:pPr>
            <w:r w:rsidRPr="00954E93">
              <w:rPr>
                <w:rFonts w:cs="Calibri"/>
              </w:rPr>
              <w:t>Détermination des moyens financiers</w:t>
            </w:r>
          </w:p>
        </w:tc>
        <w:tc>
          <w:tcPr>
            <w:tcW w:w="895" w:type="dxa"/>
            <w:noWrap/>
            <w:hideMark/>
          </w:tcPr>
          <w:p w14:paraId="2CD7B842" w14:textId="77777777" w:rsidR="00954E93" w:rsidRPr="00954E93" w:rsidRDefault="00954E93" w:rsidP="006831B2">
            <w:pPr>
              <w:jc w:val="both"/>
              <w:rPr>
                <w:rFonts w:cs="Calibri"/>
              </w:rPr>
            </w:pPr>
            <w:r w:rsidRPr="00954E93">
              <w:rPr>
                <w:rFonts w:cs="Calibri"/>
              </w:rPr>
              <w:t> </w:t>
            </w:r>
          </w:p>
        </w:tc>
        <w:tc>
          <w:tcPr>
            <w:tcW w:w="809" w:type="dxa"/>
            <w:noWrap/>
            <w:hideMark/>
          </w:tcPr>
          <w:p w14:paraId="6AC47C90" w14:textId="77777777" w:rsidR="00954E93" w:rsidRPr="00954E93" w:rsidRDefault="00954E93" w:rsidP="006831B2">
            <w:pPr>
              <w:jc w:val="both"/>
              <w:rPr>
                <w:rFonts w:cs="Calibri"/>
              </w:rPr>
            </w:pPr>
            <w:r w:rsidRPr="00954E93">
              <w:rPr>
                <w:rFonts w:cs="Calibri"/>
              </w:rPr>
              <w:t> </w:t>
            </w:r>
          </w:p>
        </w:tc>
        <w:tc>
          <w:tcPr>
            <w:tcW w:w="790" w:type="dxa"/>
            <w:noWrap/>
            <w:hideMark/>
          </w:tcPr>
          <w:p w14:paraId="0EEB902F" w14:textId="77777777" w:rsidR="00954E93" w:rsidRPr="00954E93" w:rsidRDefault="00954E93" w:rsidP="006831B2">
            <w:pPr>
              <w:jc w:val="both"/>
              <w:rPr>
                <w:rFonts w:cs="Calibri"/>
              </w:rPr>
            </w:pPr>
            <w:r w:rsidRPr="00954E93">
              <w:rPr>
                <w:rFonts w:cs="Calibri"/>
              </w:rPr>
              <w:t> </w:t>
            </w:r>
          </w:p>
        </w:tc>
        <w:tc>
          <w:tcPr>
            <w:tcW w:w="2211" w:type="dxa"/>
            <w:noWrap/>
            <w:hideMark/>
          </w:tcPr>
          <w:p w14:paraId="7E0715E4" w14:textId="77777777" w:rsidR="00954E93" w:rsidRPr="00954E93" w:rsidRDefault="00954E93" w:rsidP="006831B2">
            <w:pPr>
              <w:jc w:val="both"/>
              <w:rPr>
                <w:rFonts w:cs="Calibri"/>
              </w:rPr>
            </w:pPr>
            <w:r w:rsidRPr="00954E93">
              <w:rPr>
                <w:rFonts w:cs="Calibri"/>
              </w:rPr>
              <w:t> </w:t>
            </w:r>
          </w:p>
        </w:tc>
      </w:tr>
      <w:tr w:rsidR="00954E93" w:rsidRPr="00954E93" w14:paraId="62BD1E31" w14:textId="77777777" w:rsidTr="00954E93">
        <w:trPr>
          <w:trHeight w:val="950"/>
        </w:trPr>
        <w:tc>
          <w:tcPr>
            <w:tcW w:w="562" w:type="dxa"/>
            <w:noWrap/>
            <w:hideMark/>
          </w:tcPr>
          <w:p w14:paraId="52449BDD" w14:textId="77777777" w:rsidR="00954E93" w:rsidRPr="00954E93" w:rsidRDefault="00954E93" w:rsidP="006831B2">
            <w:pPr>
              <w:jc w:val="both"/>
              <w:rPr>
                <w:rFonts w:cs="Calibri"/>
              </w:rPr>
            </w:pPr>
            <w:r w:rsidRPr="00954E93">
              <w:rPr>
                <w:rFonts w:cs="Calibri"/>
              </w:rPr>
              <w:t>10</w:t>
            </w:r>
          </w:p>
        </w:tc>
        <w:tc>
          <w:tcPr>
            <w:tcW w:w="4622" w:type="dxa"/>
            <w:hideMark/>
          </w:tcPr>
          <w:p w14:paraId="2D1C604D" w14:textId="77777777" w:rsidR="00954E93" w:rsidRPr="00954E93" w:rsidRDefault="00954E93" w:rsidP="006831B2">
            <w:pPr>
              <w:jc w:val="both"/>
              <w:rPr>
                <w:rFonts w:cs="Calibri"/>
              </w:rPr>
            </w:pPr>
            <w:r w:rsidRPr="00954E93">
              <w:rPr>
                <w:rFonts w:cs="Calibri"/>
              </w:rPr>
              <w:t>Détermination des moyens techniques (disponibilité,  pseudonymisation, traçabilité, absence d’accès non autorisés…)</w:t>
            </w:r>
          </w:p>
        </w:tc>
        <w:tc>
          <w:tcPr>
            <w:tcW w:w="895" w:type="dxa"/>
            <w:noWrap/>
            <w:hideMark/>
          </w:tcPr>
          <w:p w14:paraId="34A73CD8" w14:textId="77777777" w:rsidR="00954E93" w:rsidRPr="00954E93" w:rsidRDefault="00954E93" w:rsidP="006831B2">
            <w:pPr>
              <w:jc w:val="both"/>
              <w:rPr>
                <w:rFonts w:cs="Calibri"/>
              </w:rPr>
            </w:pPr>
            <w:r w:rsidRPr="00954E93">
              <w:rPr>
                <w:rFonts w:cs="Calibri"/>
              </w:rPr>
              <w:t> </w:t>
            </w:r>
          </w:p>
        </w:tc>
        <w:tc>
          <w:tcPr>
            <w:tcW w:w="809" w:type="dxa"/>
            <w:noWrap/>
            <w:hideMark/>
          </w:tcPr>
          <w:p w14:paraId="0ED60044" w14:textId="77777777" w:rsidR="00954E93" w:rsidRPr="00954E93" w:rsidRDefault="00954E93" w:rsidP="006831B2">
            <w:pPr>
              <w:jc w:val="both"/>
              <w:rPr>
                <w:rFonts w:cs="Calibri"/>
              </w:rPr>
            </w:pPr>
            <w:r w:rsidRPr="00954E93">
              <w:rPr>
                <w:rFonts w:cs="Calibri"/>
              </w:rPr>
              <w:t> </w:t>
            </w:r>
          </w:p>
        </w:tc>
        <w:tc>
          <w:tcPr>
            <w:tcW w:w="790" w:type="dxa"/>
            <w:noWrap/>
            <w:hideMark/>
          </w:tcPr>
          <w:p w14:paraId="42D4E35B" w14:textId="77777777" w:rsidR="00954E93" w:rsidRPr="00954E93" w:rsidRDefault="00954E93" w:rsidP="006831B2">
            <w:pPr>
              <w:jc w:val="both"/>
              <w:rPr>
                <w:rFonts w:cs="Calibri"/>
              </w:rPr>
            </w:pPr>
            <w:r w:rsidRPr="00954E93">
              <w:rPr>
                <w:rFonts w:cs="Calibri"/>
              </w:rPr>
              <w:t> </w:t>
            </w:r>
          </w:p>
        </w:tc>
        <w:tc>
          <w:tcPr>
            <w:tcW w:w="2211" w:type="dxa"/>
            <w:noWrap/>
            <w:hideMark/>
          </w:tcPr>
          <w:p w14:paraId="7C22EBCD" w14:textId="77777777" w:rsidR="00954E93" w:rsidRPr="00954E93" w:rsidRDefault="00954E93" w:rsidP="006831B2">
            <w:pPr>
              <w:jc w:val="both"/>
              <w:rPr>
                <w:rFonts w:cs="Calibri"/>
              </w:rPr>
            </w:pPr>
            <w:r w:rsidRPr="00954E93">
              <w:rPr>
                <w:rFonts w:cs="Calibri"/>
              </w:rPr>
              <w:t> </w:t>
            </w:r>
          </w:p>
        </w:tc>
      </w:tr>
      <w:tr w:rsidR="00954E93" w:rsidRPr="00954E93" w14:paraId="550B166B" w14:textId="77777777" w:rsidTr="00954E93">
        <w:trPr>
          <w:trHeight w:val="570"/>
        </w:trPr>
        <w:tc>
          <w:tcPr>
            <w:tcW w:w="562" w:type="dxa"/>
            <w:noWrap/>
            <w:hideMark/>
          </w:tcPr>
          <w:p w14:paraId="0C3C2E6C" w14:textId="77777777" w:rsidR="00954E93" w:rsidRPr="00954E93" w:rsidRDefault="00954E93" w:rsidP="006831B2">
            <w:pPr>
              <w:jc w:val="both"/>
              <w:rPr>
                <w:rFonts w:cs="Calibri"/>
              </w:rPr>
            </w:pPr>
            <w:r w:rsidRPr="00954E93">
              <w:rPr>
                <w:rFonts w:cs="Calibri"/>
              </w:rPr>
              <w:t>11</w:t>
            </w:r>
          </w:p>
        </w:tc>
        <w:tc>
          <w:tcPr>
            <w:tcW w:w="4622" w:type="dxa"/>
            <w:noWrap/>
            <w:hideMark/>
          </w:tcPr>
          <w:p w14:paraId="7BCD98EE" w14:textId="77777777" w:rsidR="00954E93" w:rsidRPr="00954E93" w:rsidRDefault="00954E93" w:rsidP="006831B2">
            <w:pPr>
              <w:jc w:val="both"/>
              <w:rPr>
                <w:rFonts w:cs="Calibri"/>
              </w:rPr>
            </w:pPr>
            <w:r w:rsidRPr="00954E93">
              <w:rPr>
                <w:rFonts w:cs="Calibri"/>
              </w:rPr>
              <w:t>Détermination des moyens humains</w:t>
            </w:r>
          </w:p>
        </w:tc>
        <w:tc>
          <w:tcPr>
            <w:tcW w:w="895" w:type="dxa"/>
            <w:noWrap/>
            <w:hideMark/>
          </w:tcPr>
          <w:p w14:paraId="1970EF67" w14:textId="77777777" w:rsidR="00954E93" w:rsidRPr="00954E93" w:rsidRDefault="00954E93" w:rsidP="006831B2">
            <w:pPr>
              <w:jc w:val="both"/>
              <w:rPr>
                <w:rFonts w:cs="Calibri"/>
              </w:rPr>
            </w:pPr>
            <w:r w:rsidRPr="00954E93">
              <w:rPr>
                <w:rFonts w:cs="Calibri"/>
              </w:rPr>
              <w:t> </w:t>
            </w:r>
          </w:p>
        </w:tc>
        <w:tc>
          <w:tcPr>
            <w:tcW w:w="809" w:type="dxa"/>
            <w:noWrap/>
            <w:hideMark/>
          </w:tcPr>
          <w:p w14:paraId="1C9D0F86" w14:textId="77777777" w:rsidR="00954E93" w:rsidRPr="00954E93" w:rsidRDefault="00954E93" w:rsidP="006831B2">
            <w:pPr>
              <w:jc w:val="both"/>
              <w:rPr>
                <w:rFonts w:cs="Calibri"/>
              </w:rPr>
            </w:pPr>
            <w:r w:rsidRPr="00954E93">
              <w:rPr>
                <w:rFonts w:cs="Calibri"/>
              </w:rPr>
              <w:t> </w:t>
            </w:r>
          </w:p>
        </w:tc>
        <w:tc>
          <w:tcPr>
            <w:tcW w:w="790" w:type="dxa"/>
            <w:noWrap/>
            <w:hideMark/>
          </w:tcPr>
          <w:p w14:paraId="506937A2" w14:textId="77777777" w:rsidR="00954E93" w:rsidRPr="00954E93" w:rsidRDefault="00954E93" w:rsidP="006831B2">
            <w:pPr>
              <w:jc w:val="both"/>
              <w:rPr>
                <w:rFonts w:cs="Calibri"/>
              </w:rPr>
            </w:pPr>
            <w:r w:rsidRPr="00954E93">
              <w:rPr>
                <w:rFonts w:cs="Calibri"/>
              </w:rPr>
              <w:t> </w:t>
            </w:r>
          </w:p>
        </w:tc>
        <w:tc>
          <w:tcPr>
            <w:tcW w:w="2211" w:type="dxa"/>
            <w:hideMark/>
          </w:tcPr>
          <w:p w14:paraId="6F882547" w14:textId="77777777" w:rsidR="00954E93" w:rsidRPr="00954E93" w:rsidRDefault="00954E93" w:rsidP="006831B2">
            <w:pPr>
              <w:jc w:val="both"/>
              <w:rPr>
                <w:rFonts w:cs="Calibri"/>
              </w:rPr>
            </w:pPr>
            <w:r w:rsidRPr="00954E93">
              <w:rPr>
                <w:rFonts w:cs="Calibri"/>
              </w:rPr>
              <w:t> </w:t>
            </w:r>
          </w:p>
        </w:tc>
      </w:tr>
      <w:tr w:rsidR="00954E93" w:rsidRPr="00954E93" w14:paraId="1E26ED2D" w14:textId="77777777" w:rsidTr="00954E93">
        <w:trPr>
          <w:trHeight w:val="570"/>
        </w:trPr>
        <w:tc>
          <w:tcPr>
            <w:tcW w:w="562" w:type="dxa"/>
            <w:noWrap/>
            <w:hideMark/>
          </w:tcPr>
          <w:p w14:paraId="2567EA01" w14:textId="77777777" w:rsidR="00954E93" w:rsidRPr="00954E93" w:rsidRDefault="00954E93" w:rsidP="006831B2">
            <w:pPr>
              <w:jc w:val="both"/>
              <w:rPr>
                <w:rFonts w:cs="Calibri"/>
              </w:rPr>
            </w:pPr>
            <w:r w:rsidRPr="00954E93">
              <w:rPr>
                <w:rFonts w:cs="Calibri"/>
              </w:rPr>
              <w:t>12</w:t>
            </w:r>
          </w:p>
        </w:tc>
        <w:tc>
          <w:tcPr>
            <w:tcW w:w="4622" w:type="dxa"/>
            <w:noWrap/>
            <w:hideMark/>
          </w:tcPr>
          <w:p w14:paraId="1E88E7C1" w14:textId="77777777" w:rsidR="00954E93" w:rsidRPr="00954E93" w:rsidRDefault="00954E93" w:rsidP="006831B2">
            <w:pPr>
              <w:jc w:val="both"/>
              <w:rPr>
                <w:rFonts w:cs="Calibri"/>
              </w:rPr>
            </w:pPr>
            <w:r w:rsidRPr="00954E93">
              <w:rPr>
                <w:rFonts w:cs="Calibri"/>
              </w:rPr>
              <w:t>Maîtrise et contrôle des opérations de traitement</w:t>
            </w:r>
          </w:p>
        </w:tc>
        <w:tc>
          <w:tcPr>
            <w:tcW w:w="895" w:type="dxa"/>
            <w:noWrap/>
            <w:hideMark/>
          </w:tcPr>
          <w:p w14:paraId="052FA438" w14:textId="77777777" w:rsidR="00954E93" w:rsidRPr="00954E93" w:rsidRDefault="00954E93" w:rsidP="006831B2">
            <w:pPr>
              <w:jc w:val="both"/>
              <w:rPr>
                <w:rFonts w:cs="Calibri"/>
              </w:rPr>
            </w:pPr>
            <w:r w:rsidRPr="00954E93">
              <w:rPr>
                <w:rFonts w:cs="Calibri"/>
              </w:rPr>
              <w:t> </w:t>
            </w:r>
          </w:p>
        </w:tc>
        <w:tc>
          <w:tcPr>
            <w:tcW w:w="809" w:type="dxa"/>
            <w:noWrap/>
            <w:hideMark/>
          </w:tcPr>
          <w:p w14:paraId="0FBBA84D" w14:textId="77777777" w:rsidR="00954E93" w:rsidRPr="00954E93" w:rsidRDefault="00954E93" w:rsidP="006831B2">
            <w:pPr>
              <w:jc w:val="both"/>
              <w:rPr>
                <w:rFonts w:cs="Calibri"/>
              </w:rPr>
            </w:pPr>
            <w:r w:rsidRPr="00954E93">
              <w:rPr>
                <w:rFonts w:cs="Calibri"/>
              </w:rPr>
              <w:t> </w:t>
            </w:r>
          </w:p>
        </w:tc>
        <w:tc>
          <w:tcPr>
            <w:tcW w:w="790" w:type="dxa"/>
            <w:noWrap/>
            <w:hideMark/>
          </w:tcPr>
          <w:p w14:paraId="2D344F0A" w14:textId="77777777" w:rsidR="00954E93" w:rsidRPr="00954E93" w:rsidRDefault="00954E93" w:rsidP="006831B2">
            <w:pPr>
              <w:jc w:val="both"/>
              <w:rPr>
                <w:rFonts w:cs="Calibri"/>
              </w:rPr>
            </w:pPr>
            <w:r w:rsidRPr="00954E93">
              <w:rPr>
                <w:rFonts w:cs="Calibri"/>
              </w:rPr>
              <w:t> </w:t>
            </w:r>
          </w:p>
        </w:tc>
        <w:tc>
          <w:tcPr>
            <w:tcW w:w="2211" w:type="dxa"/>
            <w:hideMark/>
          </w:tcPr>
          <w:p w14:paraId="4AC90DE5" w14:textId="77777777" w:rsidR="00954E93" w:rsidRPr="00954E93" w:rsidRDefault="00954E93" w:rsidP="006831B2">
            <w:pPr>
              <w:jc w:val="both"/>
              <w:rPr>
                <w:rFonts w:cs="Calibri"/>
              </w:rPr>
            </w:pPr>
            <w:r w:rsidRPr="00954E93">
              <w:rPr>
                <w:rFonts w:cs="Calibri"/>
              </w:rPr>
              <w:t> </w:t>
            </w:r>
          </w:p>
        </w:tc>
      </w:tr>
    </w:tbl>
    <w:p w14:paraId="024BA904" w14:textId="566588CD" w:rsidR="00FF023E" w:rsidRPr="00954E93" w:rsidRDefault="00954E93" w:rsidP="008D6650">
      <w:pPr>
        <w:jc w:val="both"/>
        <w:rPr>
          <w:rFonts w:cs="Calibri"/>
          <w:color w:val="76923C" w:themeColor="accent3" w:themeShade="BF"/>
        </w:rPr>
      </w:pPr>
      <w:r w:rsidRPr="00954E93">
        <w:rPr>
          <w:rFonts w:cs="Calibri"/>
          <w:color w:val="76923C" w:themeColor="accent3" w:themeShade="BF"/>
        </w:rPr>
        <w:br w:type="page"/>
      </w:r>
    </w:p>
    <w:p w14:paraId="28574AB0" w14:textId="276DBA14" w:rsidR="003C71B8" w:rsidRPr="00903EBA" w:rsidRDefault="00291B0A" w:rsidP="008D6650">
      <w:pPr>
        <w:jc w:val="both"/>
        <w:rPr>
          <w:b/>
          <w:bCs/>
          <w:color w:val="0070C0"/>
          <w:sz w:val="32"/>
          <w:szCs w:val="32"/>
        </w:rPr>
      </w:pPr>
      <w:r w:rsidRPr="00B50B75">
        <w:rPr>
          <w:b/>
          <w:bCs/>
          <w:color w:val="0070C0"/>
          <w:sz w:val="32"/>
          <w:szCs w:val="32"/>
        </w:rPr>
        <w:lastRenderedPageBreak/>
        <w:t>TABLE DES MATIÈRES</w:t>
      </w:r>
    </w:p>
    <w:p w14:paraId="37D9170F" w14:textId="77777777" w:rsidR="00B14EDA" w:rsidRDefault="000E0B75">
      <w:pPr>
        <w:pStyle w:val="TM1"/>
        <w:rPr>
          <w:rFonts w:eastAsiaTheme="minorEastAsia"/>
          <w:b w:val="0"/>
          <w:bCs w:val="0"/>
          <w:caps w:val="0"/>
          <w:noProof/>
          <w:kern w:val="0"/>
          <w:szCs w:val="22"/>
          <w:lang w:eastAsia="fr-FR"/>
          <w14:ligatures w14:val="none"/>
        </w:rPr>
      </w:pPr>
      <w:r w:rsidRPr="008A5BCC">
        <w:rPr>
          <w:rFonts w:ascii="Calibri" w:hAnsi="Calibri"/>
        </w:rPr>
        <w:fldChar w:fldCharType="begin"/>
      </w:r>
      <w:r w:rsidR="008A3A4F" w:rsidRPr="00822B33">
        <w:rPr>
          <w:rFonts w:ascii="Calibri" w:hAnsi="Calibri"/>
        </w:rPr>
        <w:instrText xml:space="preserve"> TOC \o "1-3" \h \z \u </w:instrText>
      </w:r>
      <w:r w:rsidRPr="008A5BCC">
        <w:rPr>
          <w:rFonts w:ascii="Calibri" w:hAnsi="Calibri"/>
        </w:rPr>
        <w:fldChar w:fldCharType="separate"/>
      </w:r>
      <w:hyperlink w:anchor="_Toc161759368" w:history="1">
        <w:r w:rsidR="00B14EDA" w:rsidRPr="0085225F">
          <w:rPr>
            <w:rStyle w:val="Lienhypertexte"/>
            <w:noProof/>
          </w:rPr>
          <w:t>1 équipe projet</w:t>
        </w:r>
        <w:r w:rsidR="00B14EDA">
          <w:rPr>
            <w:noProof/>
            <w:webHidden/>
          </w:rPr>
          <w:tab/>
        </w:r>
        <w:r w:rsidR="00B14EDA">
          <w:rPr>
            <w:noProof/>
            <w:webHidden/>
          </w:rPr>
          <w:fldChar w:fldCharType="begin"/>
        </w:r>
        <w:r w:rsidR="00B14EDA">
          <w:rPr>
            <w:noProof/>
            <w:webHidden/>
          </w:rPr>
          <w:instrText xml:space="preserve"> PAGEREF _Toc161759368 \h </w:instrText>
        </w:r>
        <w:r w:rsidR="00B14EDA">
          <w:rPr>
            <w:noProof/>
            <w:webHidden/>
          </w:rPr>
        </w:r>
        <w:r w:rsidR="00B14EDA">
          <w:rPr>
            <w:noProof/>
            <w:webHidden/>
          </w:rPr>
          <w:fldChar w:fldCharType="separate"/>
        </w:r>
        <w:r w:rsidR="00DA4183">
          <w:rPr>
            <w:noProof/>
            <w:webHidden/>
          </w:rPr>
          <w:t>12</w:t>
        </w:r>
        <w:r w:rsidR="00B14EDA">
          <w:rPr>
            <w:noProof/>
            <w:webHidden/>
          </w:rPr>
          <w:fldChar w:fldCharType="end"/>
        </w:r>
      </w:hyperlink>
    </w:p>
    <w:p w14:paraId="1E565B1D"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69" w:history="1">
        <w:r w:rsidR="00B14EDA" w:rsidRPr="0085225F">
          <w:rPr>
            <w:rStyle w:val="Lienhypertexte"/>
            <w:noProof/>
          </w:rPr>
          <w:t>1.1 Responsables de traitement et service chargé de la mise en œuvre des traitements</w:t>
        </w:r>
        <w:r w:rsidR="00B14EDA">
          <w:rPr>
            <w:noProof/>
            <w:webHidden/>
          </w:rPr>
          <w:tab/>
        </w:r>
        <w:r w:rsidR="00B14EDA">
          <w:rPr>
            <w:noProof/>
            <w:webHidden/>
          </w:rPr>
          <w:fldChar w:fldCharType="begin"/>
        </w:r>
        <w:r w:rsidR="00B14EDA">
          <w:rPr>
            <w:noProof/>
            <w:webHidden/>
          </w:rPr>
          <w:instrText xml:space="preserve"> PAGEREF _Toc161759369 \h </w:instrText>
        </w:r>
        <w:r w:rsidR="00B14EDA">
          <w:rPr>
            <w:noProof/>
            <w:webHidden/>
          </w:rPr>
        </w:r>
        <w:r w:rsidR="00B14EDA">
          <w:rPr>
            <w:noProof/>
            <w:webHidden/>
          </w:rPr>
          <w:fldChar w:fldCharType="separate"/>
        </w:r>
        <w:r w:rsidR="00DA4183">
          <w:rPr>
            <w:noProof/>
            <w:webHidden/>
          </w:rPr>
          <w:t>12</w:t>
        </w:r>
        <w:r w:rsidR="00B14EDA">
          <w:rPr>
            <w:noProof/>
            <w:webHidden/>
          </w:rPr>
          <w:fldChar w:fldCharType="end"/>
        </w:r>
      </w:hyperlink>
    </w:p>
    <w:p w14:paraId="71F23801"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0" w:history="1">
        <w:r w:rsidR="00B14EDA" w:rsidRPr="0085225F">
          <w:rPr>
            <w:rStyle w:val="Lienhypertexte"/>
            <w:noProof/>
          </w:rPr>
          <w:t>1.2 Équipe coordinatrice</w:t>
        </w:r>
        <w:r w:rsidR="00B14EDA">
          <w:rPr>
            <w:noProof/>
            <w:webHidden/>
          </w:rPr>
          <w:tab/>
        </w:r>
        <w:r w:rsidR="00B14EDA">
          <w:rPr>
            <w:noProof/>
            <w:webHidden/>
          </w:rPr>
          <w:fldChar w:fldCharType="begin"/>
        </w:r>
        <w:r w:rsidR="00B14EDA">
          <w:rPr>
            <w:noProof/>
            <w:webHidden/>
          </w:rPr>
          <w:instrText xml:space="preserve"> PAGEREF _Toc161759370 \h </w:instrText>
        </w:r>
        <w:r w:rsidR="00B14EDA">
          <w:rPr>
            <w:noProof/>
            <w:webHidden/>
          </w:rPr>
        </w:r>
        <w:r w:rsidR="00B14EDA">
          <w:rPr>
            <w:noProof/>
            <w:webHidden/>
          </w:rPr>
          <w:fldChar w:fldCharType="separate"/>
        </w:r>
        <w:r w:rsidR="00DA4183">
          <w:rPr>
            <w:noProof/>
            <w:webHidden/>
          </w:rPr>
          <w:t>12</w:t>
        </w:r>
        <w:r w:rsidR="00B14EDA">
          <w:rPr>
            <w:noProof/>
            <w:webHidden/>
          </w:rPr>
          <w:fldChar w:fldCharType="end"/>
        </w:r>
      </w:hyperlink>
    </w:p>
    <w:p w14:paraId="745B81B6"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1" w:history="1">
        <w:r w:rsidR="00B14EDA" w:rsidRPr="0085225F">
          <w:rPr>
            <w:rStyle w:val="Lienhypertexte"/>
            <w:noProof/>
          </w:rPr>
          <w:t>1.3 Partenaires</w:t>
        </w:r>
        <w:r w:rsidR="00B14EDA">
          <w:rPr>
            <w:noProof/>
            <w:webHidden/>
          </w:rPr>
          <w:tab/>
        </w:r>
        <w:r w:rsidR="00B14EDA">
          <w:rPr>
            <w:noProof/>
            <w:webHidden/>
          </w:rPr>
          <w:fldChar w:fldCharType="begin"/>
        </w:r>
        <w:r w:rsidR="00B14EDA">
          <w:rPr>
            <w:noProof/>
            <w:webHidden/>
          </w:rPr>
          <w:instrText xml:space="preserve"> PAGEREF _Toc161759371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758C0CFD"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2" w:history="1">
        <w:r w:rsidR="00B14EDA" w:rsidRPr="0085225F">
          <w:rPr>
            <w:rStyle w:val="Lienhypertexte"/>
            <w:noProof/>
          </w:rPr>
          <w:t>1.4 Comité d’experts</w:t>
        </w:r>
        <w:r w:rsidR="00B14EDA">
          <w:rPr>
            <w:noProof/>
            <w:webHidden/>
          </w:rPr>
          <w:tab/>
        </w:r>
        <w:r w:rsidR="00B14EDA">
          <w:rPr>
            <w:noProof/>
            <w:webHidden/>
          </w:rPr>
          <w:fldChar w:fldCharType="begin"/>
        </w:r>
        <w:r w:rsidR="00B14EDA">
          <w:rPr>
            <w:noProof/>
            <w:webHidden/>
          </w:rPr>
          <w:instrText xml:space="preserve"> PAGEREF _Toc161759372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18DB3914"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3" w:history="1">
        <w:r w:rsidR="00B14EDA" w:rsidRPr="0085225F">
          <w:rPr>
            <w:rStyle w:val="Lienhypertexte"/>
            <w:noProof/>
          </w:rPr>
          <w:t>1.5 Délégué à la protection des données (DPO)</w:t>
        </w:r>
        <w:r w:rsidR="00B14EDA">
          <w:rPr>
            <w:noProof/>
            <w:webHidden/>
          </w:rPr>
          <w:tab/>
        </w:r>
        <w:r w:rsidR="00B14EDA">
          <w:rPr>
            <w:noProof/>
            <w:webHidden/>
          </w:rPr>
          <w:fldChar w:fldCharType="begin"/>
        </w:r>
        <w:r w:rsidR="00B14EDA">
          <w:rPr>
            <w:noProof/>
            <w:webHidden/>
          </w:rPr>
          <w:instrText xml:space="preserve"> PAGEREF _Toc161759373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2D296EC9"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4" w:history="1">
        <w:r w:rsidR="00B14EDA" w:rsidRPr="0085225F">
          <w:rPr>
            <w:rStyle w:val="Lienhypertexte"/>
            <w:noProof/>
          </w:rPr>
          <w:t>1.6 Organisme financeur et contractualisation</w:t>
        </w:r>
        <w:r w:rsidR="00B14EDA">
          <w:rPr>
            <w:noProof/>
            <w:webHidden/>
          </w:rPr>
          <w:tab/>
        </w:r>
        <w:r w:rsidR="00B14EDA">
          <w:rPr>
            <w:noProof/>
            <w:webHidden/>
          </w:rPr>
          <w:fldChar w:fldCharType="begin"/>
        </w:r>
        <w:r w:rsidR="00B14EDA">
          <w:rPr>
            <w:noProof/>
            <w:webHidden/>
          </w:rPr>
          <w:instrText xml:space="preserve"> PAGEREF _Toc161759374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298BE98A" w14:textId="77777777" w:rsidR="00B14EDA" w:rsidRDefault="006831B2">
      <w:pPr>
        <w:pStyle w:val="TM1"/>
        <w:rPr>
          <w:rFonts w:eastAsiaTheme="minorEastAsia"/>
          <w:b w:val="0"/>
          <w:bCs w:val="0"/>
          <w:caps w:val="0"/>
          <w:noProof/>
          <w:kern w:val="0"/>
          <w:szCs w:val="22"/>
          <w:lang w:eastAsia="fr-FR"/>
          <w14:ligatures w14:val="none"/>
        </w:rPr>
      </w:pPr>
      <w:hyperlink w:anchor="_Toc161759375" w:history="1">
        <w:r w:rsidR="00B14EDA" w:rsidRPr="0085225F">
          <w:rPr>
            <w:rStyle w:val="Lienhypertexte"/>
            <w:noProof/>
          </w:rPr>
          <w:t>2 contexte de l’étude, recherche ou évaluation</w:t>
        </w:r>
        <w:r w:rsidR="00B14EDA">
          <w:rPr>
            <w:noProof/>
            <w:webHidden/>
          </w:rPr>
          <w:tab/>
        </w:r>
        <w:r w:rsidR="00B14EDA">
          <w:rPr>
            <w:noProof/>
            <w:webHidden/>
          </w:rPr>
          <w:fldChar w:fldCharType="begin"/>
        </w:r>
        <w:r w:rsidR="00B14EDA">
          <w:rPr>
            <w:noProof/>
            <w:webHidden/>
          </w:rPr>
          <w:instrText xml:space="preserve"> PAGEREF _Toc161759375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778B28C6" w14:textId="77777777" w:rsidR="00B14EDA" w:rsidRDefault="006831B2">
      <w:pPr>
        <w:pStyle w:val="TM1"/>
        <w:rPr>
          <w:rFonts w:eastAsiaTheme="minorEastAsia"/>
          <w:b w:val="0"/>
          <w:bCs w:val="0"/>
          <w:caps w:val="0"/>
          <w:noProof/>
          <w:kern w:val="0"/>
          <w:szCs w:val="22"/>
          <w:lang w:eastAsia="fr-FR"/>
          <w14:ligatures w14:val="none"/>
        </w:rPr>
      </w:pPr>
      <w:hyperlink w:anchor="_Toc161759376" w:history="1">
        <w:r w:rsidR="00B14EDA" w:rsidRPr="0085225F">
          <w:rPr>
            <w:rStyle w:val="Lienhypertexte"/>
            <w:noProof/>
          </w:rPr>
          <w:t>3 Objectifs de l’étude</w:t>
        </w:r>
        <w:r w:rsidR="00B14EDA">
          <w:rPr>
            <w:noProof/>
            <w:webHidden/>
          </w:rPr>
          <w:tab/>
        </w:r>
        <w:r w:rsidR="00B14EDA">
          <w:rPr>
            <w:noProof/>
            <w:webHidden/>
          </w:rPr>
          <w:fldChar w:fldCharType="begin"/>
        </w:r>
        <w:r w:rsidR="00B14EDA">
          <w:rPr>
            <w:noProof/>
            <w:webHidden/>
          </w:rPr>
          <w:instrText xml:space="preserve"> PAGEREF _Toc161759376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30A8255F"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7" w:history="1">
        <w:r w:rsidR="00B14EDA" w:rsidRPr="0085225F">
          <w:rPr>
            <w:rStyle w:val="Lienhypertexte"/>
            <w:noProof/>
          </w:rPr>
          <w:t>3.1 Objectif principal de l’étude</w:t>
        </w:r>
        <w:r w:rsidR="00B14EDA">
          <w:rPr>
            <w:noProof/>
            <w:webHidden/>
          </w:rPr>
          <w:tab/>
        </w:r>
        <w:r w:rsidR="00B14EDA">
          <w:rPr>
            <w:noProof/>
            <w:webHidden/>
          </w:rPr>
          <w:fldChar w:fldCharType="begin"/>
        </w:r>
        <w:r w:rsidR="00B14EDA">
          <w:rPr>
            <w:noProof/>
            <w:webHidden/>
          </w:rPr>
          <w:instrText xml:space="preserve"> PAGEREF _Toc161759377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3DAE87A7"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78" w:history="1">
        <w:r w:rsidR="00B14EDA" w:rsidRPr="0085225F">
          <w:rPr>
            <w:rStyle w:val="Lienhypertexte"/>
            <w:noProof/>
          </w:rPr>
          <w:t>3.2 Objectifs secondaires</w:t>
        </w:r>
        <w:r w:rsidR="00B14EDA">
          <w:rPr>
            <w:noProof/>
            <w:webHidden/>
          </w:rPr>
          <w:tab/>
        </w:r>
        <w:r w:rsidR="00B14EDA">
          <w:rPr>
            <w:noProof/>
            <w:webHidden/>
          </w:rPr>
          <w:fldChar w:fldCharType="begin"/>
        </w:r>
        <w:r w:rsidR="00B14EDA">
          <w:rPr>
            <w:noProof/>
            <w:webHidden/>
          </w:rPr>
          <w:instrText xml:space="preserve"> PAGEREF _Toc161759378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6B96D8D9" w14:textId="77777777" w:rsidR="00B14EDA" w:rsidRDefault="006831B2">
      <w:pPr>
        <w:pStyle w:val="TM1"/>
        <w:rPr>
          <w:rFonts w:eastAsiaTheme="minorEastAsia"/>
          <w:b w:val="0"/>
          <w:bCs w:val="0"/>
          <w:caps w:val="0"/>
          <w:noProof/>
          <w:kern w:val="0"/>
          <w:szCs w:val="22"/>
          <w:lang w:eastAsia="fr-FR"/>
          <w14:ligatures w14:val="none"/>
        </w:rPr>
      </w:pPr>
      <w:hyperlink w:anchor="_Toc161759379" w:history="1">
        <w:r w:rsidR="00B14EDA" w:rsidRPr="0085225F">
          <w:rPr>
            <w:rStyle w:val="Lienhypertexte"/>
            <w:noProof/>
            <w:highlight w:val="cyan"/>
          </w:rPr>
          <w:t>4 Respect de l’éthique</w:t>
        </w:r>
        <w:r w:rsidR="00B14EDA">
          <w:rPr>
            <w:noProof/>
            <w:webHidden/>
          </w:rPr>
          <w:tab/>
        </w:r>
        <w:r w:rsidR="00B14EDA">
          <w:rPr>
            <w:noProof/>
            <w:webHidden/>
          </w:rPr>
          <w:fldChar w:fldCharType="begin"/>
        </w:r>
        <w:r w:rsidR="00B14EDA">
          <w:rPr>
            <w:noProof/>
            <w:webHidden/>
          </w:rPr>
          <w:instrText xml:space="preserve"> PAGEREF _Toc161759379 \h </w:instrText>
        </w:r>
        <w:r w:rsidR="00B14EDA">
          <w:rPr>
            <w:noProof/>
            <w:webHidden/>
          </w:rPr>
        </w:r>
        <w:r w:rsidR="00B14EDA">
          <w:rPr>
            <w:noProof/>
            <w:webHidden/>
          </w:rPr>
          <w:fldChar w:fldCharType="separate"/>
        </w:r>
        <w:r w:rsidR="00DA4183">
          <w:rPr>
            <w:noProof/>
            <w:webHidden/>
          </w:rPr>
          <w:t>13</w:t>
        </w:r>
        <w:r w:rsidR="00B14EDA">
          <w:rPr>
            <w:noProof/>
            <w:webHidden/>
          </w:rPr>
          <w:fldChar w:fldCharType="end"/>
        </w:r>
      </w:hyperlink>
    </w:p>
    <w:p w14:paraId="1509EC1A" w14:textId="77777777" w:rsidR="00B14EDA" w:rsidRDefault="006831B2">
      <w:pPr>
        <w:pStyle w:val="TM1"/>
        <w:rPr>
          <w:rFonts w:eastAsiaTheme="minorEastAsia"/>
          <w:b w:val="0"/>
          <w:bCs w:val="0"/>
          <w:caps w:val="0"/>
          <w:noProof/>
          <w:kern w:val="0"/>
          <w:szCs w:val="22"/>
          <w:lang w:eastAsia="fr-FR"/>
          <w14:ligatures w14:val="none"/>
        </w:rPr>
      </w:pPr>
      <w:hyperlink w:anchor="_Toc161759380" w:history="1">
        <w:r w:rsidR="00B14EDA" w:rsidRPr="0085225F">
          <w:rPr>
            <w:rStyle w:val="Lienhypertexte"/>
            <w:noProof/>
          </w:rPr>
          <w:t>5 justification d’intérêt public de l’étude, la recherche ou l’évaluation</w:t>
        </w:r>
        <w:r w:rsidR="00B14EDA">
          <w:rPr>
            <w:noProof/>
            <w:webHidden/>
          </w:rPr>
          <w:tab/>
        </w:r>
        <w:r w:rsidR="00B14EDA">
          <w:rPr>
            <w:noProof/>
            <w:webHidden/>
          </w:rPr>
          <w:fldChar w:fldCharType="begin"/>
        </w:r>
        <w:r w:rsidR="00B14EDA">
          <w:rPr>
            <w:noProof/>
            <w:webHidden/>
          </w:rPr>
          <w:instrText xml:space="preserve"> PAGEREF _Toc161759380 \h </w:instrText>
        </w:r>
        <w:r w:rsidR="00B14EDA">
          <w:rPr>
            <w:noProof/>
            <w:webHidden/>
          </w:rPr>
        </w:r>
        <w:r w:rsidR="00B14EDA">
          <w:rPr>
            <w:noProof/>
            <w:webHidden/>
          </w:rPr>
          <w:fldChar w:fldCharType="separate"/>
        </w:r>
        <w:r w:rsidR="00DA4183">
          <w:rPr>
            <w:noProof/>
            <w:webHidden/>
          </w:rPr>
          <w:t>14</w:t>
        </w:r>
        <w:r w:rsidR="00B14EDA">
          <w:rPr>
            <w:noProof/>
            <w:webHidden/>
          </w:rPr>
          <w:fldChar w:fldCharType="end"/>
        </w:r>
      </w:hyperlink>
    </w:p>
    <w:p w14:paraId="38B3713F" w14:textId="77777777" w:rsidR="00B14EDA" w:rsidRDefault="006831B2">
      <w:pPr>
        <w:pStyle w:val="TM1"/>
        <w:rPr>
          <w:rFonts w:eastAsiaTheme="minorEastAsia"/>
          <w:b w:val="0"/>
          <w:bCs w:val="0"/>
          <w:caps w:val="0"/>
          <w:noProof/>
          <w:kern w:val="0"/>
          <w:szCs w:val="22"/>
          <w:lang w:eastAsia="fr-FR"/>
          <w14:ligatures w14:val="none"/>
        </w:rPr>
      </w:pPr>
      <w:hyperlink w:anchor="_Toc161759381" w:history="1">
        <w:r w:rsidR="00B14EDA" w:rsidRPr="0085225F">
          <w:rPr>
            <w:rStyle w:val="Lienhypertexte"/>
            <w:noProof/>
            <w:highlight w:val="cyan"/>
          </w:rPr>
          <w:t>6 Publication des résultats et valorisation</w:t>
        </w:r>
        <w:r w:rsidR="00B14EDA">
          <w:rPr>
            <w:noProof/>
            <w:webHidden/>
          </w:rPr>
          <w:tab/>
        </w:r>
        <w:r w:rsidR="00B14EDA">
          <w:rPr>
            <w:noProof/>
            <w:webHidden/>
          </w:rPr>
          <w:fldChar w:fldCharType="begin"/>
        </w:r>
        <w:r w:rsidR="00B14EDA">
          <w:rPr>
            <w:noProof/>
            <w:webHidden/>
          </w:rPr>
          <w:instrText xml:space="preserve"> PAGEREF _Toc161759381 \h </w:instrText>
        </w:r>
        <w:r w:rsidR="00B14EDA">
          <w:rPr>
            <w:noProof/>
            <w:webHidden/>
          </w:rPr>
        </w:r>
        <w:r w:rsidR="00B14EDA">
          <w:rPr>
            <w:noProof/>
            <w:webHidden/>
          </w:rPr>
          <w:fldChar w:fldCharType="separate"/>
        </w:r>
        <w:r w:rsidR="00DA4183">
          <w:rPr>
            <w:noProof/>
            <w:webHidden/>
          </w:rPr>
          <w:t>15</w:t>
        </w:r>
        <w:r w:rsidR="00B14EDA">
          <w:rPr>
            <w:noProof/>
            <w:webHidden/>
          </w:rPr>
          <w:fldChar w:fldCharType="end"/>
        </w:r>
      </w:hyperlink>
    </w:p>
    <w:p w14:paraId="570C4285" w14:textId="77777777" w:rsidR="00B14EDA" w:rsidRDefault="006831B2">
      <w:pPr>
        <w:pStyle w:val="TM1"/>
        <w:rPr>
          <w:rFonts w:eastAsiaTheme="minorEastAsia"/>
          <w:b w:val="0"/>
          <w:bCs w:val="0"/>
          <w:caps w:val="0"/>
          <w:noProof/>
          <w:kern w:val="0"/>
          <w:szCs w:val="22"/>
          <w:lang w:eastAsia="fr-FR"/>
          <w14:ligatures w14:val="none"/>
        </w:rPr>
      </w:pPr>
      <w:hyperlink w:anchor="_Toc161759382" w:history="1">
        <w:r w:rsidR="00B14EDA" w:rsidRPr="0085225F">
          <w:rPr>
            <w:rStyle w:val="Lienhypertexte"/>
            <w:noProof/>
          </w:rPr>
          <w:t>7 Type d’étude</w:t>
        </w:r>
        <w:r w:rsidR="00B14EDA">
          <w:rPr>
            <w:noProof/>
            <w:webHidden/>
          </w:rPr>
          <w:tab/>
        </w:r>
        <w:r w:rsidR="00B14EDA">
          <w:rPr>
            <w:noProof/>
            <w:webHidden/>
          </w:rPr>
          <w:fldChar w:fldCharType="begin"/>
        </w:r>
        <w:r w:rsidR="00B14EDA">
          <w:rPr>
            <w:noProof/>
            <w:webHidden/>
          </w:rPr>
          <w:instrText xml:space="preserve"> PAGEREF _Toc161759382 \h </w:instrText>
        </w:r>
        <w:r w:rsidR="00B14EDA">
          <w:rPr>
            <w:noProof/>
            <w:webHidden/>
          </w:rPr>
        </w:r>
        <w:r w:rsidR="00B14EDA">
          <w:rPr>
            <w:noProof/>
            <w:webHidden/>
          </w:rPr>
          <w:fldChar w:fldCharType="separate"/>
        </w:r>
        <w:r w:rsidR="00DA4183">
          <w:rPr>
            <w:noProof/>
            <w:webHidden/>
          </w:rPr>
          <w:t>15</w:t>
        </w:r>
        <w:r w:rsidR="00B14EDA">
          <w:rPr>
            <w:noProof/>
            <w:webHidden/>
          </w:rPr>
          <w:fldChar w:fldCharType="end"/>
        </w:r>
      </w:hyperlink>
    </w:p>
    <w:p w14:paraId="0C60D0D8" w14:textId="77777777" w:rsidR="00B14EDA" w:rsidRDefault="006831B2">
      <w:pPr>
        <w:pStyle w:val="TM1"/>
        <w:rPr>
          <w:rFonts w:eastAsiaTheme="minorEastAsia"/>
          <w:b w:val="0"/>
          <w:bCs w:val="0"/>
          <w:caps w:val="0"/>
          <w:noProof/>
          <w:kern w:val="0"/>
          <w:szCs w:val="22"/>
          <w:lang w:eastAsia="fr-FR"/>
          <w14:ligatures w14:val="none"/>
        </w:rPr>
      </w:pPr>
      <w:hyperlink w:anchor="_Toc161759383" w:history="1">
        <w:r w:rsidR="00B14EDA" w:rsidRPr="0085225F">
          <w:rPr>
            <w:rStyle w:val="Lienhypertexte"/>
            <w:noProof/>
          </w:rPr>
          <w:t>8 Population concernée ou Cohorte</w:t>
        </w:r>
        <w:r w:rsidR="00B14EDA">
          <w:rPr>
            <w:noProof/>
            <w:webHidden/>
          </w:rPr>
          <w:tab/>
        </w:r>
        <w:r w:rsidR="00B14EDA">
          <w:rPr>
            <w:noProof/>
            <w:webHidden/>
          </w:rPr>
          <w:fldChar w:fldCharType="begin"/>
        </w:r>
        <w:r w:rsidR="00B14EDA">
          <w:rPr>
            <w:noProof/>
            <w:webHidden/>
          </w:rPr>
          <w:instrText xml:space="preserve"> PAGEREF _Toc161759383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7938B0DA"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84" w:history="1">
        <w:r w:rsidR="00B14EDA" w:rsidRPr="0085225F">
          <w:rPr>
            <w:rStyle w:val="Lienhypertexte"/>
            <w:noProof/>
          </w:rPr>
          <w:t>8.1 Description de la population concernés par l’étude</w:t>
        </w:r>
        <w:r w:rsidR="00B14EDA">
          <w:rPr>
            <w:noProof/>
            <w:webHidden/>
          </w:rPr>
          <w:tab/>
        </w:r>
        <w:r w:rsidR="00B14EDA">
          <w:rPr>
            <w:noProof/>
            <w:webHidden/>
          </w:rPr>
          <w:fldChar w:fldCharType="begin"/>
        </w:r>
        <w:r w:rsidR="00B14EDA">
          <w:rPr>
            <w:noProof/>
            <w:webHidden/>
          </w:rPr>
          <w:instrText xml:space="preserve"> PAGEREF _Toc161759384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0EE598DA" w14:textId="77777777" w:rsidR="00B14EDA" w:rsidRDefault="006831B2">
      <w:pPr>
        <w:pStyle w:val="TM3"/>
        <w:rPr>
          <w:rFonts w:eastAsiaTheme="minorEastAsia"/>
          <w:iCs w:val="0"/>
          <w:noProof/>
          <w:kern w:val="0"/>
          <w:szCs w:val="22"/>
          <w:lang w:eastAsia="fr-FR"/>
          <w14:ligatures w14:val="none"/>
        </w:rPr>
      </w:pPr>
      <w:hyperlink w:anchor="_Toc161759385" w:history="1">
        <w:r w:rsidR="00B14EDA" w:rsidRPr="0085225F">
          <w:rPr>
            <w:rStyle w:val="Lienhypertexte"/>
            <w:rFonts w:ascii="Marianne Light" w:hAnsi="Marianne Light"/>
            <w:noProof/>
          </w:rPr>
          <w:t>8.1.1</w:t>
        </w:r>
        <w:r w:rsidR="00B14EDA" w:rsidRPr="0085225F">
          <w:rPr>
            <w:rStyle w:val="Lienhypertexte"/>
            <w:noProof/>
          </w:rPr>
          <w:t xml:space="preserve"> Critères d’inclusion</w:t>
        </w:r>
        <w:r w:rsidR="00B14EDA">
          <w:rPr>
            <w:noProof/>
            <w:webHidden/>
          </w:rPr>
          <w:tab/>
        </w:r>
        <w:r w:rsidR="00B14EDA">
          <w:rPr>
            <w:noProof/>
            <w:webHidden/>
          </w:rPr>
          <w:fldChar w:fldCharType="begin"/>
        </w:r>
        <w:r w:rsidR="00B14EDA">
          <w:rPr>
            <w:noProof/>
            <w:webHidden/>
          </w:rPr>
          <w:instrText xml:space="preserve"> PAGEREF _Toc161759385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1925AE34" w14:textId="77777777" w:rsidR="00B14EDA" w:rsidRDefault="006831B2">
      <w:pPr>
        <w:pStyle w:val="TM3"/>
        <w:rPr>
          <w:rFonts w:eastAsiaTheme="minorEastAsia"/>
          <w:iCs w:val="0"/>
          <w:noProof/>
          <w:kern w:val="0"/>
          <w:szCs w:val="22"/>
          <w:lang w:eastAsia="fr-FR"/>
          <w14:ligatures w14:val="none"/>
        </w:rPr>
      </w:pPr>
      <w:hyperlink w:anchor="_Toc161759386" w:history="1">
        <w:r w:rsidR="00B14EDA" w:rsidRPr="0085225F">
          <w:rPr>
            <w:rStyle w:val="Lienhypertexte"/>
            <w:rFonts w:ascii="Marianne Light" w:hAnsi="Marianne Light"/>
            <w:noProof/>
          </w:rPr>
          <w:t>8.1.2</w:t>
        </w:r>
        <w:r w:rsidR="00B14EDA" w:rsidRPr="0085225F">
          <w:rPr>
            <w:rStyle w:val="Lienhypertexte"/>
            <w:noProof/>
          </w:rPr>
          <w:t xml:space="preserve"> Critères de non inclusion</w:t>
        </w:r>
        <w:r w:rsidR="00B14EDA">
          <w:rPr>
            <w:noProof/>
            <w:webHidden/>
          </w:rPr>
          <w:tab/>
        </w:r>
        <w:r w:rsidR="00B14EDA">
          <w:rPr>
            <w:noProof/>
            <w:webHidden/>
          </w:rPr>
          <w:fldChar w:fldCharType="begin"/>
        </w:r>
        <w:r w:rsidR="00B14EDA">
          <w:rPr>
            <w:noProof/>
            <w:webHidden/>
          </w:rPr>
          <w:instrText xml:space="preserve"> PAGEREF _Toc161759386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5598AD8C" w14:textId="77777777" w:rsidR="00B14EDA" w:rsidRDefault="006831B2">
      <w:pPr>
        <w:pStyle w:val="TM3"/>
        <w:rPr>
          <w:rFonts w:eastAsiaTheme="minorEastAsia"/>
          <w:iCs w:val="0"/>
          <w:noProof/>
          <w:kern w:val="0"/>
          <w:szCs w:val="22"/>
          <w:lang w:eastAsia="fr-FR"/>
          <w14:ligatures w14:val="none"/>
        </w:rPr>
      </w:pPr>
      <w:hyperlink w:anchor="_Toc161759387" w:history="1">
        <w:r w:rsidR="00B14EDA" w:rsidRPr="0085225F">
          <w:rPr>
            <w:rStyle w:val="Lienhypertexte"/>
            <w:rFonts w:ascii="Marianne Light" w:hAnsi="Marianne Light"/>
            <w:noProof/>
          </w:rPr>
          <w:t>8.1.3</w:t>
        </w:r>
        <w:r w:rsidR="00B14EDA" w:rsidRPr="0085225F">
          <w:rPr>
            <w:rStyle w:val="Lienhypertexte"/>
            <w:noProof/>
          </w:rPr>
          <w:t xml:space="preserve"> Critères d’exclusion</w:t>
        </w:r>
        <w:r w:rsidR="00B14EDA">
          <w:rPr>
            <w:noProof/>
            <w:webHidden/>
          </w:rPr>
          <w:tab/>
        </w:r>
        <w:r w:rsidR="00B14EDA">
          <w:rPr>
            <w:noProof/>
            <w:webHidden/>
          </w:rPr>
          <w:fldChar w:fldCharType="begin"/>
        </w:r>
        <w:r w:rsidR="00B14EDA">
          <w:rPr>
            <w:noProof/>
            <w:webHidden/>
          </w:rPr>
          <w:instrText xml:space="preserve"> PAGEREF _Toc161759387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5D46B796"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88" w:history="1">
        <w:r w:rsidR="00B14EDA" w:rsidRPr="0085225F">
          <w:rPr>
            <w:rStyle w:val="Lienhypertexte"/>
            <w:noProof/>
          </w:rPr>
          <w:t>8.2 Taille de la population – Nombre de sujets nécessaires – Effectifs prévisionnels</w:t>
        </w:r>
        <w:r w:rsidR="00B14EDA">
          <w:rPr>
            <w:noProof/>
            <w:webHidden/>
          </w:rPr>
          <w:tab/>
        </w:r>
        <w:r w:rsidR="00B14EDA">
          <w:rPr>
            <w:noProof/>
            <w:webHidden/>
          </w:rPr>
          <w:fldChar w:fldCharType="begin"/>
        </w:r>
        <w:r w:rsidR="00B14EDA">
          <w:rPr>
            <w:noProof/>
            <w:webHidden/>
          </w:rPr>
          <w:instrText xml:space="preserve"> PAGEREF _Toc161759388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7CFDECA0" w14:textId="77777777" w:rsidR="00B14EDA" w:rsidRDefault="006831B2">
      <w:pPr>
        <w:pStyle w:val="TM1"/>
        <w:rPr>
          <w:rFonts w:eastAsiaTheme="minorEastAsia"/>
          <w:b w:val="0"/>
          <w:bCs w:val="0"/>
          <w:caps w:val="0"/>
          <w:noProof/>
          <w:kern w:val="0"/>
          <w:szCs w:val="22"/>
          <w:lang w:eastAsia="fr-FR"/>
          <w14:ligatures w14:val="none"/>
        </w:rPr>
      </w:pPr>
      <w:hyperlink w:anchor="_Toc161759389" w:history="1">
        <w:r w:rsidR="00B14EDA" w:rsidRPr="0085225F">
          <w:rPr>
            <w:rStyle w:val="Lienhypertexte"/>
            <w:noProof/>
          </w:rPr>
          <w:t>9 Gestion des données</w:t>
        </w:r>
        <w:r w:rsidR="00B14EDA">
          <w:rPr>
            <w:noProof/>
            <w:webHidden/>
          </w:rPr>
          <w:tab/>
        </w:r>
        <w:r w:rsidR="00B14EDA">
          <w:rPr>
            <w:noProof/>
            <w:webHidden/>
          </w:rPr>
          <w:fldChar w:fldCharType="begin"/>
        </w:r>
        <w:r w:rsidR="00B14EDA">
          <w:rPr>
            <w:noProof/>
            <w:webHidden/>
          </w:rPr>
          <w:instrText xml:space="preserve"> PAGEREF _Toc161759389 \h </w:instrText>
        </w:r>
        <w:r w:rsidR="00B14EDA">
          <w:rPr>
            <w:noProof/>
            <w:webHidden/>
          </w:rPr>
        </w:r>
        <w:r w:rsidR="00B14EDA">
          <w:rPr>
            <w:noProof/>
            <w:webHidden/>
          </w:rPr>
          <w:fldChar w:fldCharType="separate"/>
        </w:r>
        <w:r w:rsidR="00DA4183">
          <w:rPr>
            <w:noProof/>
            <w:webHidden/>
          </w:rPr>
          <w:t>16</w:t>
        </w:r>
        <w:r w:rsidR="00B14EDA">
          <w:rPr>
            <w:noProof/>
            <w:webHidden/>
          </w:rPr>
          <w:fldChar w:fldCharType="end"/>
        </w:r>
      </w:hyperlink>
    </w:p>
    <w:p w14:paraId="346BAEFC"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90" w:history="1">
        <w:r w:rsidR="00B14EDA" w:rsidRPr="0085225F">
          <w:rPr>
            <w:rStyle w:val="Lienhypertexte"/>
            <w:noProof/>
          </w:rPr>
          <w:t>9.1 Origine des données de santé à caractère personnel (Source des données)</w:t>
        </w:r>
        <w:r w:rsidR="00B14EDA">
          <w:rPr>
            <w:noProof/>
            <w:webHidden/>
          </w:rPr>
          <w:tab/>
        </w:r>
        <w:r w:rsidR="00B14EDA">
          <w:rPr>
            <w:noProof/>
            <w:webHidden/>
          </w:rPr>
          <w:fldChar w:fldCharType="begin"/>
        </w:r>
        <w:r w:rsidR="00B14EDA">
          <w:rPr>
            <w:noProof/>
            <w:webHidden/>
          </w:rPr>
          <w:instrText xml:space="preserve"> PAGEREF _Toc161759390 \h </w:instrText>
        </w:r>
        <w:r w:rsidR="00B14EDA">
          <w:rPr>
            <w:noProof/>
            <w:webHidden/>
          </w:rPr>
        </w:r>
        <w:r w:rsidR="00B14EDA">
          <w:rPr>
            <w:noProof/>
            <w:webHidden/>
          </w:rPr>
          <w:fldChar w:fldCharType="separate"/>
        </w:r>
        <w:r w:rsidR="00DA4183">
          <w:rPr>
            <w:noProof/>
            <w:webHidden/>
          </w:rPr>
          <w:t>17</w:t>
        </w:r>
        <w:r w:rsidR="00B14EDA">
          <w:rPr>
            <w:noProof/>
            <w:webHidden/>
          </w:rPr>
          <w:fldChar w:fldCharType="end"/>
        </w:r>
      </w:hyperlink>
    </w:p>
    <w:p w14:paraId="2224D2F0" w14:textId="77777777" w:rsidR="00B14EDA" w:rsidRDefault="006831B2">
      <w:pPr>
        <w:pStyle w:val="TM3"/>
        <w:rPr>
          <w:rFonts w:eastAsiaTheme="minorEastAsia"/>
          <w:iCs w:val="0"/>
          <w:noProof/>
          <w:kern w:val="0"/>
          <w:szCs w:val="22"/>
          <w:lang w:eastAsia="fr-FR"/>
          <w14:ligatures w14:val="none"/>
        </w:rPr>
      </w:pPr>
      <w:hyperlink w:anchor="_Toc161759391" w:history="1">
        <w:r w:rsidR="00B14EDA" w:rsidRPr="0085225F">
          <w:rPr>
            <w:rStyle w:val="Lienhypertexte"/>
            <w:rFonts w:ascii="Marianne Light" w:hAnsi="Marianne Light"/>
            <w:noProof/>
          </w:rPr>
          <w:t>9.1.1</w:t>
        </w:r>
        <w:r w:rsidR="00B14EDA" w:rsidRPr="0085225F">
          <w:rPr>
            <w:rStyle w:val="Lienhypertexte"/>
            <w:noProof/>
          </w:rPr>
          <w:t xml:space="preserve"> « Plateforme des données en cancérologie</w:t>
        </w:r>
        <w:r w:rsidR="00B14EDA" w:rsidRPr="0085225F">
          <w:rPr>
            <w:rStyle w:val="Lienhypertexte"/>
            <w:rFonts w:ascii="Cambria" w:hAnsi="Cambria" w:cs="Cambria"/>
            <w:noProof/>
          </w:rPr>
          <w:t> </w:t>
        </w:r>
        <w:r w:rsidR="00B14EDA" w:rsidRPr="0085225F">
          <w:rPr>
            <w:rStyle w:val="Lienhypertexte"/>
            <w:noProof/>
          </w:rPr>
          <w:t>»</w:t>
        </w:r>
        <w:r w:rsidR="00B14EDA">
          <w:rPr>
            <w:noProof/>
            <w:webHidden/>
          </w:rPr>
          <w:tab/>
        </w:r>
        <w:r w:rsidR="00B14EDA">
          <w:rPr>
            <w:noProof/>
            <w:webHidden/>
          </w:rPr>
          <w:fldChar w:fldCharType="begin"/>
        </w:r>
        <w:r w:rsidR="00B14EDA">
          <w:rPr>
            <w:noProof/>
            <w:webHidden/>
          </w:rPr>
          <w:instrText xml:space="preserve"> PAGEREF _Toc161759391 \h </w:instrText>
        </w:r>
        <w:r w:rsidR="00B14EDA">
          <w:rPr>
            <w:noProof/>
            <w:webHidden/>
          </w:rPr>
        </w:r>
        <w:r w:rsidR="00B14EDA">
          <w:rPr>
            <w:noProof/>
            <w:webHidden/>
          </w:rPr>
          <w:fldChar w:fldCharType="separate"/>
        </w:r>
        <w:r w:rsidR="00DA4183">
          <w:rPr>
            <w:noProof/>
            <w:webHidden/>
          </w:rPr>
          <w:t>17</w:t>
        </w:r>
        <w:r w:rsidR="00B14EDA">
          <w:rPr>
            <w:noProof/>
            <w:webHidden/>
          </w:rPr>
          <w:fldChar w:fldCharType="end"/>
        </w:r>
      </w:hyperlink>
    </w:p>
    <w:p w14:paraId="79BD0F69"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92" w:history="1">
        <w:r w:rsidR="00B14EDA" w:rsidRPr="0085225F">
          <w:rPr>
            <w:rStyle w:val="Lienhypertexte"/>
            <w:noProof/>
          </w:rPr>
          <w:t>9.2 Modalités de recueil des données</w:t>
        </w:r>
        <w:r w:rsidR="00B14EDA">
          <w:rPr>
            <w:noProof/>
            <w:webHidden/>
          </w:rPr>
          <w:tab/>
        </w:r>
        <w:r w:rsidR="00B14EDA">
          <w:rPr>
            <w:noProof/>
            <w:webHidden/>
          </w:rPr>
          <w:fldChar w:fldCharType="begin"/>
        </w:r>
        <w:r w:rsidR="00B14EDA">
          <w:rPr>
            <w:noProof/>
            <w:webHidden/>
          </w:rPr>
          <w:instrText xml:space="preserve"> PAGEREF _Toc161759392 \h </w:instrText>
        </w:r>
        <w:r w:rsidR="00B14EDA">
          <w:rPr>
            <w:noProof/>
            <w:webHidden/>
          </w:rPr>
        </w:r>
        <w:r w:rsidR="00B14EDA">
          <w:rPr>
            <w:noProof/>
            <w:webHidden/>
          </w:rPr>
          <w:fldChar w:fldCharType="separate"/>
        </w:r>
        <w:r w:rsidR="00DA4183">
          <w:rPr>
            <w:noProof/>
            <w:webHidden/>
          </w:rPr>
          <w:t>17</w:t>
        </w:r>
        <w:r w:rsidR="00B14EDA">
          <w:rPr>
            <w:noProof/>
            <w:webHidden/>
          </w:rPr>
          <w:fldChar w:fldCharType="end"/>
        </w:r>
      </w:hyperlink>
    </w:p>
    <w:p w14:paraId="65052142"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93" w:history="1">
        <w:r w:rsidR="00B14EDA" w:rsidRPr="0085225F">
          <w:rPr>
            <w:rStyle w:val="Lienhypertexte"/>
            <w:noProof/>
          </w:rPr>
          <w:t>9.3 Catégories de données recueillies (Ciblage des données pertinentes)</w:t>
        </w:r>
        <w:r w:rsidR="00B14EDA">
          <w:rPr>
            <w:noProof/>
            <w:webHidden/>
          </w:rPr>
          <w:tab/>
        </w:r>
        <w:r w:rsidR="00B14EDA">
          <w:rPr>
            <w:noProof/>
            <w:webHidden/>
          </w:rPr>
          <w:fldChar w:fldCharType="begin"/>
        </w:r>
        <w:r w:rsidR="00B14EDA">
          <w:rPr>
            <w:noProof/>
            <w:webHidden/>
          </w:rPr>
          <w:instrText xml:space="preserve"> PAGEREF _Toc161759393 \h </w:instrText>
        </w:r>
        <w:r w:rsidR="00B14EDA">
          <w:rPr>
            <w:noProof/>
            <w:webHidden/>
          </w:rPr>
        </w:r>
        <w:r w:rsidR="00B14EDA">
          <w:rPr>
            <w:noProof/>
            <w:webHidden/>
          </w:rPr>
          <w:fldChar w:fldCharType="separate"/>
        </w:r>
        <w:r w:rsidR="00DA4183">
          <w:rPr>
            <w:noProof/>
            <w:webHidden/>
          </w:rPr>
          <w:t>17</w:t>
        </w:r>
        <w:r w:rsidR="00B14EDA">
          <w:rPr>
            <w:noProof/>
            <w:webHidden/>
          </w:rPr>
          <w:fldChar w:fldCharType="end"/>
        </w:r>
      </w:hyperlink>
    </w:p>
    <w:p w14:paraId="10D9D365" w14:textId="77777777" w:rsidR="00B14EDA" w:rsidRDefault="006831B2">
      <w:pPr>
        <w:pStyle w:val="TM3"/>
        <w:rPr>
          <w:rFonts w:eastAsiaTheme="minorEastAsia"/>
          <w:iCs w:val="0"/>
          <w:noProof/>
          <w:kern w:val="0"/>
          <w:szCs w:val="22"/>
          <w:lang w:eastAsia="fr-FR"/>
          <w14:ligatures w14:val="none"/>
        </w:rPr>
      </w:pPr>
      <w:hyperlink w:anchor="_Toc161759394" w:history="1">
        <w:r w:rsidR="00B14EDA" w:rsidRPr="0085225F">
          <w:rPr>
            <w:rStyle w:val="Lienhypertexte"/>
            <w:rFonts w:ascii="Marianne Light" w:hAnsi="Marianne Light"/>
            <w:noProof/>
          </w:rPr>
          <w:t>9.3.1</w:t>
        </w:r>
        <w:r w:rsidR="00B14EDA" w:rsidRPr="0085225F">
          <w:rPr>
            <w:rStyle w:val="Lienhypertexte"/>
            <w:noProof/>
          </w:rPr>
          <w:t xml:space="preserve"> Justifie l’utilisation de données dites sensibles</w:t>
        </w:r>
        <w:r w:rsidR="00B14EDA" w:rsidRPr="0085225F">
          <w:rPr>
            <w:rStyle w:val="Lienhypertexte"/>
            <w:rFonts w:ascii="Cambria" w:hAnsi="Cambria" w:cs="Cambria"/>
            <w:noProof/>
          </w:rPr>
          <w:t> </w:t>
        </w:r>
        <w:r w:rsidR="00B14EDA" w:rsidRPr="0085225F">
          <w:rPr>
            <w:rStyle w:val="Lienhypertexte"/>
            <w:noProof/>
          </w:rPr>
          <w:t>:</w:t>
        </w:r>
        <w:r w:rsidR="00B14EDA">
          <w:rPr>
            <w:noProof/>
            <w:webHidden/>
          </w:rPr>
          <w:tab/>
        </w:r>
        <w:r w:rsidR="00B14EDA">
          <w:rPr>
            <w:noProof/>
            <w:webHidden/>
          </w:rPr>
          <w:fldChar w:fldCharType="begin"/>
        </w:r>
        <w:r w:rsidR="00B14EDA">
          <w:rPr>
            <w:noProof/>
            <w:webHidden/>
          </w:rPr>
          <w:instrText xml:space="preserve"> PAGEREF _Toc161759394 \h </w:instrText>
        </w:r>
        <w:r w:rsidR="00B14EDA">
          <w:rPr>
            <w:noProof/>
            <w:webHidden/>
          </w:rPr>
        </w:r>
        <w:r w:rsidR="00B14EDA">
          <w:rPr>
            <w:noProof/>
            <w:webHidden/>
          </w:rPr>
          <w:fldChar w:fldCharType="separate"/>
        </w:r>
        <w:r w:rsidR="00DA4183">
          <w:rPr>
            <w:noProof/>
            <w:webHidden/>
          </w:rPr>
          <w:t>18</w:t>
        </w:r>
        <w:r w:rsidR="00B14EDA">
          <w:rPr>
            <w:noProof/>
            <w:webHidden/>
          </w:rPr>
          <w:fldChar w:fldCharType="end"/>
        </w:r>
      </w:hyperlink>
    </w:p>
    <w:p w14:paraId="0F8F8B2F" w14:textId="77777777" w:rsidR="00B14EDA" w:rsidRDefault="006831B2">
      <w:pPr>
        <w:pStyle w:val="TM3"/>
        <w:rPr>
          <w:rFonts w:eastAsiaTheme="minorEastAsia"/>
          <w:iCs w:val="0"/>
          <w:noProof/>
          <w:kern w:val="0"/>
          <w:szCs w:val="22"/>
          <w:lang w:eastAsia="fr-FR"/>
          <w14:ligatures w14:val="none"/>
        </w:rPr>
      </w:pPr>
      <w:hyperlink w:anchor="_Toc161759395" w:history="1">
        <w:r w:rsidR="00B14EDA" w:rsidRPr="0085225F">
          <w:rPr>
            <w:rStyle w:val="Lienhypertexte"/>
            <w:rFonts w:ascii="Marianne Light" w:hAnsi="Marianne Light"/>
            <w:noProof/>
          </w:rPr>
          <w:t>9.3.2</w:t>
        </w:r>
        <w:r w:rsidR="00B14EDA" w:rsidRPr="0085225F">
          <w:rPr>
            <w:rStyle w:val="Lienhypertexte"/>
            <w:noProof/>
          </w:rPr>
          <w:t xml:space="preserve"> Spécificité des données de la Plateforme de données en cancérologie par rapport au SNDS</w:t>
        </w:r>
        <w:r w:rsidR="00B14EDA">
          <w:rPr>
            <w:noProof/>
            <w:webHidden/>
          </w:rPr>
          <w:tab/>
        </w:r>
        <w:r w:rsidR="00B14EDA">
          <w:rPr>
            <w:noProof/>
            <w:webHidden/>
          </w:rPr>
          <w:fldChar w:fldCharType="begin"/>
        </w:r>
        <w:r w:rsidR="00B14EDA">
          <w:rPr>
            <w:noProof/>
            <w:webHidden/>
          </w:rPr>
          <w:instrText xml:space="preserve"> PAGEREF _Toc161759395 \h </w:instrText>
        </w:r>
        <w:r w:rsidR="00B14EDA">
          <w:rPr>
            <w:noProof/>
            <w:webHidden/>
          </w:rPr>
        </w:r>
        <w:r w:rsidR="00B14EDA">
          <w:rPr>
            <w:noProof/>
            <w:webHidden/>
          </w:rPr>
          <w:fldChar w:fldCharType="separate"/>
        </w:r>
        <w:r w:rsidR="00DA4183">
          <w:rPr>
            <w:noProof/>
            <w:webHidden/>
          </w:rPr>
          <w:t>18</w:t>
        </w:r>
        <w:r w:rsidR="00B14EDA">
          <w:rPr>
            <w:noProof/>
            <w:webHidden/>
          </w:rPr>
          <w:fldChar w:fldCharType="end"/>
        </w:r>
      </w:hyperlink>
    </w:p>
    <w:p w14:paraId="10DB341D" w14:textId="77777777" w:rsidR="00B14EDA" w:rsidRDefault="006831B2">
      <w:pPr>
        <w:pStyle w:val="TM3"/>
        <w:rPr>
          <w:rFonts w:eastAsiaTheme="minorEastAsia"/>
          <w:iCs w:val="0"/>
          <w:noProof/>
          <w:kern w:val="0"/>
          <w:szCs w:val="22"/>
          <w:lang w:eastAsia="fr-FR"/>
          <w14:ligatures w14:val="none"/>
        </w:rPr>
      </w:pPr>
      <w:hyperlink w:anchor="_Toc161759396" w:history="1">
        <w:r w:rsidR="00B14EDA" w:rsidRPr="0085225F">
          <w:rPr>
            <w:rStyle w:val="Lienhypertexte"/>
            <w:rFonts w:ascii="Marianne Light" w:hAnsi="Marianne Light"/>
            <w:noProof/>
            <w:highlight w:val="cyan"/>
          </w:rPr>
          <w:t>9.3.3</w:t>
        </w:r>
        <w:r w:rsidR="00B14EDA" w:rsidRPr="0085225F">
          <w:rPr>
            <w:rStyle w:val="Lienhypertexte"/>
            <w:noProof/>
            <w:highlight w:val="cyan"/>
          </w:rPr>
          <w:t xml:space="preserve"> Méthodes et critères d’appariement</w:t>
        </w:r>
        <w:r w:rsidR="00B14EDA">
          <w:rPr>
            <w:noProof/>
            <w:webHidden/>
          </w:rPr>
          <w:tab/>
        </w:r>
        <w:r w:rsidR="00B14EDA">
          <w:rPr>
            <w:noProof/>
            <w:webHidden/>
          </w:rPr>
          <w:fldChar w:fldCharType="begin"/>
        </w:r>
        <w:r w:rsidR="00B14EDA">
          <w:rPr>
            <w:noProof/>
            <w:webHidden/>
          </w:rPr>
          <w:instrText xml:space="preserve"> PAGEREF _Toc161759396 \h </w:instrText>
        </w:r>
        <w:r w:rsidR="00B14EDA">
          <w:rPr>
            <w:noProof/>
            <w:webHidden/>
          </w:rPr>
        </w:r>
        <w:r w:rsidR="00B14EDA">
          <w:rPr>
            <w:noProof/>
            <w:webHidden/>
          </w:rPr>
          <w:fldChar w:fldCharType="separate"/>
        </w:r>
        <w:r w:rsidR="00DA4183">
          <w:rPr>
            <w:noProof/>
            <w:webHidden/>
          </w:rPr>
          <w:t>19</w:t>
        </w:r>
        <w:r w:rsidR="00B14EDA">
          <w:rPr>
            <w:noProof/>
            <w:webHidden/>
          </w:rPr>
          <w:fldChar w:fldCharType="end"/>
        </w:r>
      </w:hyperlink>
    </w:p>
    <w:p w14:paraId="446AEC31"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97" w:history="1">
        <w:r w:rsidR="00B14EDA" w:rsidRPr="0085225F">
          <w:rPr>
            <w:rStyle w:val="Lienhypertexte"/>
            <w:noProof/>
          </w:rPr>
          <w:t>9.4 Préparation des données</w:t>
        </w:r>
        <w:r w:rsidR="00B14EDA">
          <w:rPr>
            <w:noProof/>
            <w:webHidden/>
          </w:rPr>
          <w:tab/>
        </w:r>
        <w:r w:rsidR="00B14EDA">
          <w:rPr>
            <w:noProof/>
            <w:webHidden/>
          </w:rPr>
          <w:fldChar w:fldCharType="begin"/>
        </w:r>
        <w:r w:rsidR="00B14EDA">
          <w:rPr>
            <w:noProof/>
            <w:webHidden/>
          </w:rPr>
          <w:instrText xml:space="preserve"> PAGEREF _Toc161759397 \h </w:instrText>
        </w:r>
        <w:r w:rsidR="00B14EDA">
          <w:rPr>
            <w:noProof/>
            <w:webHidden/>
          </w:rPr>
        </w:r>
        <w:r w:rsidR="00B14EDA">
          <w:rPr>
            <w:noProof/>
            <w:webHidden/>
          </w:rPr>
          <w:fldChar w:fldCharType="separate"/>
        </w:r>
        <w:r w:rsidR="00DA4183">
          <w:rPr>
            <w:noProof/>
            <w:webHidden/>
          </w:rPr>
          <w:t>19</w:t>
        </w:r>
        <w:r w:rsidR="00B14EDA">
          <w:rPr>
            <w:noProof/>
            <w:webHidden/>
          </w:rPr>
          <w:fldChar w:fldCharType="end"/>
        </w:r>
      </w:hyperlink>
    </w:p>
    <w:p w14:paraId="54F3DB5B" w14:textId="77777777" w:rsidR="00B14EDA" w:rsidRDefault="006831B2">
      <w:pPr>
        <w:pStyle w:val="TM1"/>
        <w:rPr>
          <w:rFonts w:eastAsiaTheme="minorEastAsia"/>
          <w:b w:val="0"/>
          <w:bCs w:val="0"/>
          <w:caps w:val="0"/>
          <w:noProof/>
          <w:kern w:val="0"/>
          <w:szCs w:val="22"/>
          <w:lang w:eastAsia="fr-FR"/>
          <w14:ligatures w14:val="none"/>
        </w:rPr>
      </w:pPr>
      <w:hyperlink w:anchor="_Toc161759398" w:history="1">
        <w:r w:rsidR="00B14EDA" w:rsidRPr="0085225F">
          <w:rPr>
            <w:rStyle w:val="Lienhypertexte"/>
            <w:noProof/>
          </w:rPr>
          <w:t>10 Analyses des données</w:t>
        </w:r>
        <w:r w:rsidR="00B14EDA">
          <w:rPr>
            <w:noProof/>
            <w:webHidden/>
          </w:rPr>
          <w:tab/>
        </w:r>
        <w:r w:rsidR="00B14EDA">
          <w:rPr>
            <w:noProof/>
            <w:webHidden/>
          </w:rPr>
          <w:fldChar w:fldCharType="begin"/>
        </w:r>
        <w:r w:rsidR="00B14EDA">
          <w:rPr>
            <w:noProof/>
            <w:webHidden/>
          </w:rPr>
          <w:instrText xml:space="preserve"> PAGEREF _Toc161759398 \h </w:instrText>
        </w:r>
        <w:r w:rsidR="00B14EDA">
          <w:rPr>
            <w:noProof/>
            <w:webHidden/>
          </w:rPr>
        </w:r>
        <w:r w:rsidR="00B14EDA">
          <w:rPr>
            <w:noProof/>
            <w:webHidden/>
          </w:rPr>
          <w:fldChar w:fldCharType="separate"/>
        </w:r>
        <w:r w:rsidR="00DA4183">
          <w:rPr>
            <w:noProof/>
            <w:webHidden/>
          </w:rPr>
          <w:t>20</w:t>
        </w:r>
        <w:r w:rsidR="00B14EDA">
          <w:rPr>
            <w:noProof/>
            <w:webHidden/>
          </w:rPr>
          <w:fldChar w:fldCharType="end"/>
        </w:r>
      </w:hyperlink>
    </w:p>
    <w:p w14:paraId="2A331DCF"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399" w:history="1">
        <w:r w:rsidR="00B14EDA" w:rsidRPr="0085225F">
          <w:rPr>
            <w:rStyle w:val="Lienhypertexte"/>
            <w:noProof/>
          </w:rPr>
          <w:t>10.1 Critère de jugement principal</w:t>
        </w:r>
        <w:r w:rsidR="00B14EDA">
          <w:rPr>
            <w:noProof/>
            <w:webHidden/>
          </w:rPr>
          <w:tab/>
        </w:r>
        <w:r w:rsidR="00B14EDA">
          <w:rPr>
            <w:noProof/>
            <w:webHidden/>
          </w:rPr>
          <w:fldChar w:fldCharType="begin"/>
        </w:r>
        <w:r w:rsidR="00B14EDA">
          <w:rPr>
            <w:noProof/>
            <w:webHidden/>
          </w:rPr>
          <w:instrText xml:space="preserve"> PAGEREF _Toc161759399 \h </w:instrText>
        </w:r>
        <w:r w:rsidR="00B14EDA">
          <w:rPr>
            <w:noProof/>
            <w:webHidden/>
          </w:rPr>
        </w:r>
        <w:r w:rsidR="00B14EDA">
          <w:rPr>
            <w:noProof/>
            <w:webHidden/>
          </w:rPr>
          <w:fldChar w:fldCharType="separate"/>
        </w:r>
        <w:r w:rsidR="00DA4183">
          <w:rPr>
            <w:noProof/>
            <w:webHidden/>
          </w:rPr>
          <w:t>20</w:t>
        </w:r>
        <w:r w:rsidR="00B14EDA">
          <w:rPr>
            <w:noProof/>
            <w:webHidden/>
          </w:rPr>
          <w:fldChar w:fldCharType="end"/>
        </w:r>
      </w:hyperlink>
    </w:p>
    <w:p w14:paraId="060B4952"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00" w:history="1">
        <w:r w:rsidR="00B14EDA" w:rsidRPr="0085225F">
          <w:rPr>
            <w:rStyle w:val="Lienhypertexte"/>
            <w:noProof/>
          </w:rPr>
          <w:t>10.2 Critère de jugement secondaire</w:t>
        </w:r>
        <w:r w:rsidR="00B14EDA">
          <w:rPr>
            <w:noProof/>
            <w:webHidden/>
          </w:rPr>
          <w:tab/>
        </w:r>
        <w:r w:rsidR="00B14EDA">
          <w:rPr>
            <w:noProof/>
            <w:webHidden/>
          </w:rPr>
          <w:fldChar w:fldCharType="begin"/>
        </w:r>
        <w:r w:rsidR="00B14EDA">
          <w:rPr>
            <w:noProof/>
            <w:webHidden/>
          </w:rPr>
          <w:instrText xml:space="preserve"> PAGEREF _Toc161759400 \h </w:instrText>
        </w:r>
        <w:r w:rsidR="00B14EDA">
          <w:rPr>
            <w:noProof/>
            <w:webHidden/>
          </w:rPr>
        </w:r>
        <w:r w:rsidR="00B14EDA">
          <w:rPr>
            <w:noProof/>
            <w:webHidden/>
          </w:rPr>
          <w:fldChar w:fldCharType="separate"/>
        </w:r>
        <w:r w:rsidR="00DA4183">
          <w:rPr>
            <w:noProof/>
            <w:webHidden/>
          </w:rPr>
          <w:t>20</w:t>
        </w:r>
        <w:r w:rsidR="00B14EDA">
          <w:rPr>
            <w:noProof/>
            <w:webHidden/>
          </w:rPr>
          <w:fldChar w:fldCharType="end"/>
        </w:r>
      </w:hyperlink>
    </w:p>
    <w:p w14:paraId="7A088E53" w14:textId="77777777" w:rsidR="00B14EDA" w:rsidRDefault="006831B2">
      <w:pPr>
        <w:pStyle w:val="TM1"/>
        <w:rPr>
          <w:rFonts w:eastAsiaTheme="minorEastAsia"/>
          <w:b w:val="0"/>
          <w:bCs w:val="0"/>
          <w:caps w:val="0"/>
          <w:noProof/>
          <w:kern w:val="0"/>
          <w:szCs w:val="22"/>
          <w:lang w:eastAsia="fr-FR"/>
          <w14:ligatures w14:val="none"/>
        </w:rPr>
      </w:pPr>
      <w:hyperlink w:anchor="_Toc161759401" w:history="1">
        <w:r w:rsidR="00B14EDA" w:rsidRPr="0085225F">
          <w:rPr>
            <w:rStyle w:val="Lienhypertexte"/>
            <w:noProof/>
          </w:rPr>
          <w:t>11 Limites de l’étude</w:t>
        </w:r>
        <w:r w:rsidR="00B14EDA">
          <w:rPr>
            <w:noProof/>
            <w:webHidden/>
          </w:rPr>
          <w:tab/>
        </w:r>
        <w:r w:rsidR="00B14EDA">
          <w:rPr>
            <w:noProof/>
            <w:webHidden/>
          </w:rPr>
          <w:fldChar w:fldCharType="begin"/>
        </w:r>
        <w:r w:rsidR="00B14EDA">
          <w:rPr>
            <w:noProof/>
            <w:webHidden/>
          </w:rPr>
          <w:instrText xml:space="preserve"> PAGEREF _Toc161759401 \h </w:instrText>
        </w:r>
        <w:r w:rsidR="00B14EDA">
          <w:rPr>
            <w:noProof/>
            <w:webHidden/>
          </w:rPr>
        </w:r>
        <w:r w:rsidR="00B14EDA">
          <w:rPr>
            <w:noProof/>
            <w:webHidden/>
          </w:rPr>
          <w:fldChar w:fldCharType="separate"/>
        </w:r>
        <w:r w:rsidR="00DA4183">
          <w:rPr>
            <w:noProof/>
            <w:webHidden/>
          </w:rPr>
          <w:t>20</w:t>
        </w:r>
        <w:r w:rsidR="00B14EDA">
          <w:rPr>
            <w:noProof/>
            <w:webHidden/>
          </w:rPr>
          <w:fldChar w:fldCharType="end"/>
        </w:r>
      </w:hyperlink>
    </w:p>
    <w:p w14:paraId="3549078E" w14:textId="77777777" w:rsidR="00B14EDA" w:rsidRDefault="006831B2">
      <w:pPr>
        <w:pStyle w:val="TM1"/>
        <w:rPr>
          <w:rFonts w:eastAsiaTheme="minorEastAsia"/>
          <w:b w:val="0"/>
          <w:bCs w:val="0"/>
          <w:caps w:val="0"/>
          <w:noProof/>
          <w:kern w:val="0"/>
          <w:szCs w:val="22"/>
          <w:lang w:eastAsia="fr-FR"/>
          <w14:ligatures w14:val="none"/>
        </w:rPr>
      </w:pPr>
      <w:hyperlink w:anchor="_Toc161759402" w:history="1">
        <w:r w:rsidR="00B14EDA" w:rsidRPr="0085225F">
          <w:rPr>
            <w:rStyle w:val="Lienhypertexte"/>
            <w:noProof/>
          </w:rPr>
          <w:t>12 Calendrier prévisionnel, faisabilité du projet</w:t>
        </w:r>
        <w:r w:rsidR="00B14EDA">
          <w:rPr>
            <w:noProof/>
            <w:webHidden/>
          </w:rPr>
          <w:tab/>
        </w:r>
        <w:r w:rsidR="00B14EDA">
          <w:rPr>
            <w:noProof/>
            <w:webHidden/>
          </w:rPr>
          <w:fldChar w:fldCharType="begin"/>
        </w:r>
        <w:r w:rsidR="00B14EDA">
          <w:rPr>
            <w:noProof/>
            <w:webHidden/>
          </w:rPr>
          <w:instrText xml:space="preserve"> PAGEREF _Toc161759402 \h </w:instrText>
        </w:r>
        <w:r w:rsidR="00B14EDA">
          <w:rPr>
            <w:noProof/>
            <w:webHidden/>
          </w:rPr>
        </w:r>
        <w:r w:rsidR="00B14EDA">
          <w:rPr>
            <w:noProof/>
            <w:webHidden/>
          </w:rPr>
          <w:fldChar w:fldCharType="separate"/>
        </w:r>
        <w:r w:rsidR="00DA4183">
          <w:rPr>
            <w:noProof/>
            <w:webHidden/>
          </w:rPr>
          <w:t>20</w:t>
        </w:r>
        <w:r w:rsidR="00B14EDA">
          <w:rPr>
            <w:noProof/>
            <w:webHidden/>
          </w:rPr>
          <w:fldChar w:fldCharType="end"/>
        </w:r>
      </w:hyperlink>
    </w:p>
    <w:p w14:paraId="4DB3A0BC" w14:textId="77777777" w:rsidR="00B14EDA" w:rsidRDefault="006831B2">
      <w:pPr>
        <w:pStyle w:val="TM1"/>
        <w:rPr>
          <w:rFonts w:eastAsiaTheme="minorEastAsia"/>
          <w:b w:val="0"/>
          <w:bCs w:val="0"/>
          <w:caps w:val="0"/>
          <w:noProof/>
          <w:kern w:val="0"/>
          <w:szCs w:val="22"/>
          <w:lang w:eastAsia="fr-FR"/>
          <w14:ligatures w14:val="none"/>
        </w:rPr>
      </w:pPr>
      <w:hyperlink w:anchor="_Toc161759403" w:history="1">
        <w:r w:rsidR="00B14EDA" w:rsidRPr="0085225F">
          <w:rPr>
            <w:rStyle w:val="Lienhypertexte"/>
            <w:noProof/>
            <w:highlight w:val="cyan"/>
          </w:rPr>
          <w:t>13 Information des personnes</w:t>
        </w:r>
        <w:r w:rsidR="00B14EDA">
          <w:rPr>
            <w:noProof/>
            <w:webHidden/>
          </w:rPr>
          <w:tab/>
        </w:r>
        <w:r w:rsidR="00B14EDA">
          <w:rPr>
            <w:noProof/>
            <w:webHidden/>
          </w:rPr>
          <w:fldChar w:fldCharType="begin"/>
        </w:r>
        <w:r w:rsidR="00B14EDA">
          <w:rPr>
            <w:noProof/>
            <w:webHidden/>
          </w:rPr>
          <w:instrText xml:space="preserve"> PAGEREF _Toc161759403 \h </w:instrText>
        </w:r>
        <w:r w:rsidR="00B14EDA">
          <w:rPr>
            <w:noProof/>
            <w:webHidden/>
          </w:rPr>
        </w:r>
        <w:r w:rsidR="00B14EDA">
          <w:rPr>
            <w:noProof/>
            <w:webHidden/>
          </w:rPr>
          <w:fldChar w:fldCharType="separate"/>
        </w:r>
        <w:r w:rsidR="00DA4183">
          <w:rPr>
            <w:noProof/>
            <w:webHidden/>
          </w:rPr>
          <w:t>21</w:t>
        </w:r>
        <w:r w:rsidR="00B14EDA">
          <w:rPr>
            <w:noProof/>
            <w:webHidden/>
          </w:rPr>
          <w:fldChar w:fldCharType="end"/>
        </w:r>
      </w:hyperlink>
    </w:p>
    <w:p w14:paraId="7F2A3771"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04" w:history="1">
        <w:r w:rsidR="00B14EDA" w:rsidRPr="0085225F">
          <w:rPr>
            <w:rStyle w:val="Lienhypertexte"/>
            <w:noProof/>
          </w:rPr>
          <w:t>13.1 Information individuelle</w:t>
        </w:r>
        <w:r w:rsidR="00B14EDA">
          <w:rPr>
            <w:noProof/>
            <w:webHidden/>
          </w:rPr>
          <w:tab/>
        </w:r>
        <w:r w:rsidR="00B14EDA">
          <w:rPr>
            <w:noProof/>
            <w:webHidden/>
          </w:rPr>
          <w:fldChar w:fldCharType="begin"/>
        </w:r>
        <w:r w:rsidR="00B14EDA">
          <w:rPr>
            <w:noProof/>
            <w:webHidden/>
          </w:rPr>
          <w:instrText xml:space="preserve"> PAGEREF _Toc161759404 \h </w:instrText>
        </w:r>
        <w:r w:rsidR="00B14EDA">
          <w:rPr>
            <w:noProof/>
            <w:webHidden/>
          </w:rPr>
        </w:r>
        <w:r w:rsidR="00B14EDA">
          <w:rPr>
            <w:noProof/>
            <w:webHidden/>
          </w:rPr>
          <w:fldChar w:fldCharType="separate"/>
        </w:r>
        <w:r w:rsidR="00DA4183">
          <w:rPr>
            <w:noProof/>
            <w:webHidden/>
          </w:rPr>
          <w:t>21</w:t>
        </w:r>
        <w:r w:rsidR="00B14EDA">
          <w:rPr>
            <w:noProof/>
            <w:webHidden/>
          </w:rPr>
          <w:fldChar w:fldCharType="end"/>
        </w:r>
      </w:hyperlink>
    </w:p>
    <w:p w14:paraId="119DE084"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05" w:history="1">
        <w:r w:rsidR="00B14EDA" w:rsidRPr="0085225F">
          <w:rPr>
            <w:rStyle w:val="Lienhypertexte"/>
            <w:noProof/>
          </w:rPr>
          <w:t>13.2 Information collective</w:t>
        </w:r>
        <w:r w:rsidR="00B14EDA">
          <w:rPr>
            <w:noProof/>
            <w:webHidden/>
          </w:rPr>
          <w:tab/>
        </w:r>
        <w:r w:rsidR="00B14EDA">
          <w:rPr>
            <w:noProof/>
            <w:webHidden/>
          </w:rPr>
          <w:fldChar w:fldCharType="begin"/>
        </w:r>
        <w:r w:rsidR="00B14EDA">
          <w:rPr>
            <w:noProof/>
            <w:webHidden/>
          </w:rPr>
          <w:instrText xml:space="preserve"> PAGEREF _Toc161759405 \h </w:instrText>
        </w:r>
        <w:r w:rsidR="00B14EDA">
          <w:rPr>
            <w:noProof/>
            <w:webHidden/>
          </w:rPr>
        </w:r>
        <w:r w:rsidR="00B14EDA">
          <w:rPr>
            <w:noProof/>
            <w:webHidden/>
          </w:rPr>
          <w:fldChar w:fldCharType="separate"/>
        </w:r>
        <w:r w:rsidR="00DA4183">
          <w:rPr>
            <w:noProof/>
            <w:webHidden/>
          </w:rPr>
          <w:t>21</w:t>
        </w:r>
        <w:r w:rsidR="00B14EDA">
          <w:rPr>
            <w:noProof/>
            <w:webHidden/>
          </w:rPr>
          <w:fldChar w:fldCharType="end"/>
        </w:r>
      </w:hyperlink>
    </w:p>
    <w:p w14:paraId="70BAE22B"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06" w:history="1">
        <w:r w:rsidR="00B14EDA" w:rsidRPr="0085225F">
          <w:rPr>
            <w:rStyle w:val="Lienhypertexte"/>
            <w:noProof/>
          </w:rPr>
          <w:t>13.3 Droit des personnes</w:t>
        </w:r>
        <w:r w:rsidR="00B14EDA">
          <w:rPr>
            <w:noProof/>
            <w:webHidden/>
          </w:rPr>
          <w:tab/>
        </w:r>
        <w:r w:rsidR="00B14EDA">
          <w:rPr>
            <w:noProof/>
            <w:webHidden/>
          </w:rPr>
          <w:fldChar w:fldCharType="begin"/>
        </w:r>
        <w:r w:rsidR="00B14EDA">
          <w:rPr>
            <w:noProof/>
            <w:webHidden/>
          </w:rPr>
          <w:instrText xml:space="preserve"> PAGEREF _Toc161759406 \h </w:instrText>
        </w:r>
        <w:r w:rsidR="00B14EDA">
          <w:rPr>
            <w:noProof/>
            <w:webHidden/>
          </w:rPr>
        </w:r>
        <w:r w:rsidR="00B14EDA">
          <w:rPr>
            <w:noProof/>
            <w:webHidden/>
          </w:rPr>
          <w:fldChar w:fldCharType="separate"/>
        </w:r>
        <w:r w:rsidR="00DA4183">
          <w:rPr>
            <w:noProof/>
            <w:webHidden/>
          </w:rPr>
          <w:t>21</w:t>
        </w:r>
        <w:r w:rsidR="00B14EDA">
          <w:rPr>
            <w:noProof/>
            <w:webHidden/>
          </w:rPr>
          <w:fldChar w:fldCharType="end"/>
        </w:r>
      </w:hyperlink>
    </w:p>
    <w:p w14:paraId="4C8390FE" w14:textId="77777777" w:rsidR="00B14EDA" w:rsidRDefault="006831B2">
      <w:pPr>
        <w:pStyle w:val="TM1"/>
        <w:rPr>
          <w:rFonts w:eastAsiaTheme="minorEastAsia"/>
          <w:b w:val="0"/>
          <w:bCs w:val="0"/>
          <w:caps w:val="0"/>
          <w:noProof/>
          <w:kern w:val="0"/>
          <w:szCs w:val="22"/>
          <w:lang w:eastAsia="fr-FR"/>
          <w14:ligatures w14:val="none"/>
        </w:rPr>
      </w:pPr>
      <w:hyperlink w:anchor="_Toc161759407" w:history="1">
        <w:r w:rsidR="00B14EDA" w:rsidRPr="0085225F">
          <w:rPr>
            <w:rStyle w:val="Lienhypertexte"/>
            <w:noProof/>
            <w:highlight w:val="cyan"/>
          </w:rPr>
          <w:t>14 Sécurité et circuit des données</w:t>
        </w:r>
        <w:r w:rsidR="00B14EDA">
          <w:rPr>
            <w:noProof/>
            <w:webHidden/>
          </w:rPr>
          <w:tab/>
        </w:r>
        <w:r w:rsidR="00B14EDA">
          <w:rPr>
            <w:noProof/>
            <w:webHidden/>
          </w:rPr>
          <w:fldChar w:fldCharType="begin"/>
        </w:r>
        <w:r w:rsidR="00B14EDA">
          <w:rPr>
            <w:noProof/>
            <w:webHidden/>
          </w:rPr>
          <w:instrText xml:space="preserve"> PAGEREF _Toc161759407 \h </w:instrText>
        </w:r>
        <w:r w:rsidR="00B14EDA">
          <w:rPr>
            <w:noProof/>
            <w:webHidden/>
          </w:rPr>
        </w:r>
        <w:r w:rsidR="00B14EDA">
          <w:rPr>
            <w:noProof/>
            <w:webHidden/>
          </w:rPr>
          <w:fldChar w:fldCharType="separate"/>
        </w:r>
        <w:r w:rsidR="00DA4183">
          <w:rPr>
            <w:noProof/>
            <w:webHidden/>
          </w:rPr>
          <w:t>22</w:t>
        </w:r>
        <w:r w:rsidR="00B14EDA">
          <w:rPr>
            <w:noProof/>
            <w:webHidden/>
          </w:rPr>
          <w:fldChar w:fldCharType="end"/>
        </w:r>
      </w:hyperlink>
    </w:p>
    <w:p w14:paraId="6E5E4666"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08" w:history="1">
        <w:r w:rsidR="00B14EDA" w:rsidRPr="0085225F">
          <w:rPr>
            <w:rStyle w:val="Lienhypertexte"/>
            <w:noProof/>
          </w:rPr>
          <w:t>14.1 Gestion du risque d’identification des personnes ou de ré-identification des personnes</w:t>
        </w:r>
        <w:r w:rsidR="00B14EDA">
          <w:rPr>
            <w:noProof/>
            <w:webHidden/>
          </w:rPr>
          <w:tab/>
        </w:r>
        <w:r w:rsidR="00B14EDA">
          <w:rPr>
            <w:noProof/>
            <w:webHidden/>
          </w:rPr>
          <w:fldChar w:fldCharType="begin"/>
        </w:r>
        <w:r w:rsidR="00B14EDA">
          <w:rPr>
            <w:noProof/>
            <w:webHidden/>
          </w:rPr>
          <w:instrText xml:space="preserve"> PAGEREF _Toc161759408 \h </w:instrText>
        </w:r>
        <w:r w:rsidR="00B14EDA">
          <w:rPr>
            <w:noProof/>
            <w:webHidden/>
          </w:rPr>
        </w:r>
        <w:r w:rsidR="00B14EDA">
          <w:rPr>
            <w:noProof/>
            <w:webHidden/>
          </w:rPr>
          <w:fldChar w:fldCharType="separate"/>
        </w:r>
        <w:r w:rsidR="00DA4183">
          <w:rPr>
            <w:noProof/>
            <w:webHidden/>
          </w:rPr>
          <w:t>22</w:t>
        </w:r>
        <w:r w:rsidR="00B14EDA">
          <w:rPr>
            <w:noProof/>
            <w:webHidden/>
          </w:rPr>
          <w:fldChar w:fldCharType="end"/>
        </w:r>
      </w:hyperlink>
    </w:p>
    <w:p w14:paraId="31BFA700" w14:textId="77777777" w:rsidR="00B14EDA" w:rsidRDefault="006831B2">
      <w:pPr>
        <w:pStyle w:val="TM3"/>
        <w:rPr>
          <w:rFonts w:eastAsiaTheme="minorEastAsia"/>
          <w:iCs w:val="0"/>
          <w:noProof/>
          <w:kern w:val="0"/>
          <w:szCs w:val="22"/>
          <w:lang w:eastAsia="fr-FR"/>
          <w14:ligatures w14:val="none"/>
        </w:rPr>
      </w:pPr>
      <w:hyperlink w:anchor="_Toc161759409" w:history="1">
        <w:r w:rsidR="00B14EDA" w:rsidRPr="0085225F">
          <w:rPr>
            <w:rStyle w:val="Lienhypertexte"/>
            <w:rFonts w:ascii="Marianne Light" w:hAnsi="Marianne Light"/>
            <w:noProof/>
          </w:rPr>
          <w:t>14.1.1</w:t>
        </w:r>
        <w:r w:rsidR="00B14EDA" w:rsidRPr="0085225F">
          <w:rPr>
            <w:rStyle w:val="Lienhypertexte"/>
            <w:noProof/>
          </w:rPr>
          <w:t xml:space="preserve"> Pseudonymisation (code personne)</w:t>
        </w:r>
        <w:r w:rsidR="00B14EDA">
          <w:rPr>
            <w:noProof/>
            <w:webHidden/>
          </w:rPr>
          <w:tab/>
        </w:r>
        <w:r w:rsidR="00B14EDA">
          <w:rPr>
            <w:noProof/>
            <w:webHidden/>
          </w:rPr>
          <w:fldChar w:fldCharType="begin"/>
        </w:r>
        <w:r w:rsidR="00B14EDA">
          <w:rPr>
            <w:noProof/>
            <w:webHidden/>
          </w:rPr>
          <w:instrText xml:space="preserve"> PAGEREF _Toc161759409 \h </w:instrText>
        </w:r>
        <w:r w:rsidR="00B14EDA">
          <w:rPr>
            <w:noProof/>
            <w:webHidden/>
          </w:rPr>
        </w:r>
        <w:r w:rsidR="00B14EDA">
          <w:rPr>
            <w:noProof/>
            <w:webHidden/>
          </w:rPr>
          <w:fldChar w:fldCharType="separate"/>
        </w:r>
        <w:r w:rsidR="00DA4183">
          <w:rPr>
            <w:noProof/>
            <w:webHidden/>
          </w:rPr>
          <w:t>22</w:t>
        </w:r>
        <w:r w:rsidR="00B14EDA">
          <w:rPr>
            <w:noProof/>
            <w:webHidden/>
          </w:rPr>
          <w:fldChar w:fldCharType="end"/>
        </w:r>
      </w:hyperlink>
    </w:p>
    <w:p w14:paraId="20766CDD"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10" w:history="1">
        <w:r w:rsidR="00B14EDA" w:rsidRPr="0085225F">
          <w:rPr>
            <w:rStyle w:val="Lienhypertexte"/>
            <w:noProof/>
          </w:rPr>
          <w:t>14.2 Hébergement et sécurité de la base de données (Support de données)</w:t>
        </w:r>
        <w:r w:rsidR="00B14EDA">
          <w:rPr>
            <w:noProof/>
            <w:webHidden/>
          </w:rPr>
          <w:tab/>
        </w:r>
        <w:r w:rsidR="00B14EDA">
          <w:rPr>
            <w:noProof/>
            <w:webHidden/>
          </w:rPr>
          <w:fldChar w:fldCharType="begin"/>
        </w:r>
        <w:r w:rsidR="00B14EDA">
          <w:rPr>
            <w:noProof/>
            <w:webHidden/>
          </w:rPr>
          <w:instrText xml:space="preserve"> PAGEREF _Toc161759410 \h </w:instrText>
        </w:r>
        <w:r w:rsidR="00B14EDA">
          <w:rPr>
            <w:noProof/>
            <w:webHidden/>
          </w:rPr>
        </w:r>
        <w:r w:rsidR="00B14EDA">
          <w:rPr>
            <w:noProof/>
            <w:webHidden/>
          </w:rPr>
          <w:fldChar w:fldCharType="separate"/>
        </w:r>
        <w:r w:rsidR="00DA4183">
          <w:rPr>
            <w:noProof/>
            <w:webHidden/>
          </w:rPr>
          <w:t>22</w:t>
        </w:r>
        <w:r w:rsidR="00B14EDA">
          <w:rPr>
            <w:noProof/>
            <w:webHidden/>
          </w:rPr>
          <w:fldChar w:fldCharType="end"/>
        </w:r>
      </w:hyperlink>
    </w:p>
    <w:p w14:paraId="7A3B2729"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11" w:history="1">
        <w:r w:rsidR="00B14EDA" w:rsidRPr="0085225F">
          <w:rPr>
            <w:rStyle w:val="Lienhypertexte"/>
            <w:noProof/>
          </w:rPr>
          <w:t>14.3 Circuit des données à caractères personnels et modalité de protection de leur confidentialité</w:t>
        </w:r>
        <w:r w:rsidR="00B14EDA">
          <w:rPr>
            <w:noProof/>
            <w:webHidden/>
          </w:rPr>
          <w:tab/>
        </w:r>
        <w:r w:rsidR="00B14EDA">
          <w:rPr>
            <w:noProof/>
            <w:webHidden/>
          </w:rPr>
          <w:fldChar w:fldCharType="begin"/>
        </w:r>
        <w:r w:rsidR="00B14EDA">
          <w:rPr>
            <w:noProof/>
            <w:webHidden/>
          </w:rPr>
          <w:instrText xml:space="preserve"> PAGEREF _Toc161759411 \h </w:instrText>
        </w:r>
        <w:r w:rsidR="00B14EDA">
          <w:rPr>
            <w:noProof/>
            <w:webHidden/>
          </w:rPr>
        </w:r>
        <w:r w:rsidR="00B14EDA">
          <w:rPr>
            <w:noProof/>
            <w:webHidden/>
          </w:rPr>
          <w:fldChar w:fldCharType="separate"/>
        </w:r>
        <w:r w:rsidR="00DA4183">
          <w:rPr>
            <w:noProof/>
            <w:webHidden/>
          </w:rPr>
          <w:t>23</w:t>
        </w:r>
        <w:r w:rsidR="00B14EDA">
          <w:rPr>
            <w:noProof/>
            <w:webHidden/>
          </w:rPr>
          <w:fldChar w:fldCharType="end"/>
        </w:r>
      </w:hyperlink>
    </w:p>
    <w:p w14:paraId="4A5A37AB" w14:textId="77777777" w:rsidR="00B14EDA" w:rsidRDefault="006831B2">
      <w:pPr>
        <w:pStyle w:val="TM3"/>
        <w:rPr>
          <w:rFonts w:eastAsiaTheme="minorEastAsia"/>
          <w:iCs w:val="0"/>
          <w:noProof/>
          <w:kern w:val="0"/>
          <w:szCs w:val="22"/>
          <w:lang w:eastAsia="fr-FR"/>
          <w14:ligatures w14:val="none"/>
        </w:rPr>
      </w:pPr>
      <w:hyperlink w:anchor="_Toc161759412" w:history="1">
        <w:r w:rsidR="00B14EDA" w:rsidRPr="0085225F">
          <w:rPr>
            <w:rStyle w:val="Lienhypertexte"/>
            <w:rFonts w:ascii="Marianne Light" w:hAnsi="Marianne Light"/>
            <w:noProof/>
          </w:rPr>
          <w:t>14.3.1</w:t>
        </w:r>
        <w:r w:rsidR="00B14EDA" w:rsidRPr="0085225F">
          <w:rPr>
            <w:rStyle w:val="Lienhypertexte"/>
            <w:noProof/>
          </w:rPr>
          <w:t xml:space="preserve"> Circuit des données</w:t>
        </w:r>
        <w:r w:rsidR="00B14EDA">
          <w:rPr>
            <w:noProof/>
            <w:webHidden/>
          </w:rPr>
          <w:tab/>
        </w:r>
        <w:r w:rsidR="00B14EDA">
          <w:rPr>
            <w:noProof/>
            <w:webHidden/>
          </w:rPr>
          <w:fldChar w:fldCharType="begin"/>
        </w:r>
        <w:r w:rsidR="00B14EDA">
          <w:rPr>
            <w:noProof/>
            <w:webHidden/>
          </w:rPr>
          <w:instrText xml:space="preserve"> PAGEREF _Toc161759412 \h </w:instrText>
        </w:r>
        <w:r w:rsidR="00B14EDA">
          <w:rPr>
            <w:noProof/>
            <w:webHidden/>
          </w:rPr>
        </w:r>
        <w:r w:rsidR="00B14EDA">
          <w:rPr>
            <w:noProof/>
            <w:webHidden/>
          </w:rPr>
          <w:fldChar w:fldCharType="separate"/>
        </w:r>
        <w:r w:rsidR="00DA4183">
          <w:rPr>
            <w:noProof/>
            <w:webHidden/>
          </w:rPr>
          <w:t>23</w:t>
        </w:r>
        <w:r w:rsidR="00B14EDA">
          <w:rPr>
            <w:noProof/>
            <w:webHidden/>
          </w:rPr>
          <w:fldChar w:fldCharType="end"/>
        </w:r>
      </w:hyperlink>
    </w:p>
    <w:p w14:paraId="02168AFE" w14:textId="77777777" w:rsidR="00B14EDA" w:rsidRDefault="006831B2">
      <w:pPr>
        <w:pStyle w:val="TM3"/>
        <w:rPr>
          <w:rFonts w:eastAsiaTheme="minorEastAsia"/>
          <w:iCs w:val="0"/>
          <w:noProof/>
          <w:kern w:val="0"/>
          <w:szCs w:val="22"/>
          <w:lang w:eastAsia="fr-FR"/>
          <w14:ligatures w14:val="none"/>
        </w:rPr>
      </w:pPr>
      <w:hyperlink w:anchor="_Toc161759413" w:history="1">
        <w:r w:rsidR="00B14EDA" w:rsidRPr="0085225F">
          <w:rPr>
            <w:rStyle w:val="Lienhypertexte"/>
            <w:rFonts w:ascii="Marianne Light" w:hAnsi="Marianne Light"/>
            <w:noProof/>
          </w:rPr>
          <w:t>14.3.2</w:t>
        </w:r>
        <w:r w:rsidR="00B14EDA" w:rsidRPr="0085225F">
          <w:rPr>
            <w:rStyle w:val="Lienhypertexte"/>
            <w:noProof/>
          </w:rPr>
          <w:t xml:space="preserve"> Transmission des données</w:t>
        </w:r>
        <w:r w:rsidR="00B14EDA">
          <w:rPr>
            <w:noProof/>
            <w:webHidden/>
          </w:rPr>
          <w:tab/>
        </w:r>
        <w:r w:rsidR="00B14EDA">
          <w:rPr>
            <w:noProof/>
            <w:webHidden/>
          </w:rPr>
          <w:fldChar w:fldCharType="begin"/>
        </w:r>
        <w:r w:rsidR="00B14EDA">
          <w:rPr>
            <w:noProof/>
            <w:webHidden/>
          </w:rPr>
          <w:instrText xml:space="preserve"> PAGEREF _Toc161759413 \h </w:instrText>
        </w:r>
        <w:r w:rsidR="00B14EDA">
          <w:rPr>
            <w:noProof/>
            <w:webHidden/>
          </w:rPr>
        </w:r>
        <w:r w:rsidR="00B14EDA">
          <w:rPr>
            <w:noProof/>
            <w:webHidden/>
          </w:rPr>
          <w:fldChar w:fldCharType="separate"/>
        </w:r>
        <w:r w:rsidR="00DA4183">
          <w:rPr>
            <w:noProof/>
            <w:webHidden/>
          </w:rPr>
          <w:t>23</w:t>
        </w:r>
        <w:r w:rsidR="00B14EDA">
          <w:rPr>
            <w:noProof/>
            <w:webHidden/>
          </w:rPr>
          <w:fldChar w:fldCharType="end"/>
        </w:r>
      </w:hyperlink>
    </w:p>
    <w:p w14:paraId="35DEED05" w14:textId="77777777" w:rsidR="00B14EDA" w:rsidRDefault="006831B2">
      <w:pPr>
        <w:pStyle w:val="TM3"/>
        <w:rPr>
          <w:rFonts w:eastAsiaTheme="minorEastAsia"/>
          <w:iCs w:val="0"/>
          <w:noProof/>
          <w:kern w:val="0"/>
          <w:szCs w:val="22"/>
          <w:lang w:eastAsia="fr-FR"/>
          <w14:ligatures w14:val="none"/>
        </w:rPr>
      </w:pPr>
      <w:hyperlink w:anchor="_Toc161759414" w:history="1">
        <w:r w:rsidR="00B14EDA" w:rsidRPr="0085225F">
          <w:rPr>
            <w:rStyle w:val="Lienhypertexte"/>
            <w:rFonts w:ascii="Marianne Light" w:hAnsi="Marianne Light"/>
            <w:noProof/>
          </w:rPr>
          <w:t>14.3.3</w:t>
        </w:r>
        <w:r w:rsidR="00B14EDA" w:rsidRPr="0085225F">
          <w:rPr>
            <w:rStyle w:val="Lienhypertexte"/>
            <w:noProof/>
          </w:rPr>
          <w:t xml:space="preserve"> Intégration des données</w:t>
        </w:r>
        <w:r w:rsidR="00B14EDA">
          <w:rPr>
            <w:noProof/>
            <w:webHidden/>
          </w:rPr>
          <w:tab/>
        </w:r>
        <w:r w:rsidR="00B14EDA">
          <w:rPr>
            <w:noProof/>
            <w:webHidden/>
          </w:rPr>
          <w:fldChar w:fldCharType="begin"/>
        </w:r>
        <w:r w:rsidR="00B14EDA">
          <w:rPr>
            <w:noProof/>
            <w:webHidden/>
          </w:rPr>
          <w:instrText xml:space="preserve"> PAGEREF _Toc161759414 \h </w:instrText>
        </w:r>
        <w:r w:rsidR="00B14EDA">
          <w:rPr>
            <w:noProof/>
            <w:webHidden/>
          </w:rPr>
        </w:r>
        <w:r w:rsidR="00B14EDA">
          <w:rPr>
            <w:noProof/>
            <w:webHidden/>
          </w:rPr>
          <w:fldChar w:fldCharType="separate"/>
        </w:r>
        <w:r w:rsidR="00DA4183">
          <w:rPr>
            <w:noProof/>
            <w:webHidden/>
          </w:rPr>
          <w:t>24</w:t>
        </w:r>
        <w:r w:rsidR="00B14EDA">
          <w:rPr>
            <w:noProof/>
            <w:webHidden/>
          </w:rPr>
          <w:fldChar w:fldCharType="end"/>
        </w:r>
      </w:hyperlink>
    </w:p>
    <w:p w14:paraId="44379BE1"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15" w:history="1">
        <w:r w:rsidR="00B14EDA" w:rsidRPr="0085225F">
          <w:rPr>
            <w:rStyle w:val="Lienhypertexte"/>
            <w:noProof/>
          </w:rPr>
          <w:t>14.4 Transfert des données de l’étude</w:t>
        </w:r>
        <w:r w:rsidR="00B14EDA">
          <w:rPr>
            <w:noProof/>
            <w:webHidden/>
          </w:rPr>
          <w:tab/>
        </w:r>
        <w:r w:rsidR="00B14EDA">
          <w:rPr>
            <w:noProof/>
            <w:webHidden/>
          </w:rPr>
          <w:fldChar w:fldCharType="begin"/>
        </w:r>
        <w:r w:rsidR="00B14EDA">
          <w:rPr>
            <w:noProof/>
            <w:webHidden/>
          </w:rPr>
          <w:instrText xml:space="preserve"> PAGEREF _Toc161759415 \h </w:instrText>
        </w:r>
        <w:r w:rsidR="00B14EDA">
          <w:rPr>
            <w:noProof/>
            <w:webHidden/>
          </w:rPr>
        </w:r>
        <w:r w:rsidR="00B14EDA">
          <w:rPr>
            <w:noProof/>
            <w:webHidden/>
          </w:rPr>
          <w:fldChar w:fldCharType="separate"/>
        </w:r>
        <w:r w:rsidR="00DA4183">
          <w:rPr>
            <w:noProof/>
            <w:webHidden/>
          </w:rPr>
          <w:t>24</w:t>
        </w:r>
        <w:r w:rsidR="00B14EDA">
          <w:rPr>
            <w:noProof/>
            <w:webHidden/>
          </w:rPr>
          <w:fldChar w:fldCharType="end"/>
        </w:r>
      </w:hyperlink>
    </w:p>
    <w:p w14:paraId="2463E706" w14:textId="77777777" w:rsidR="00B14EDA" w:rsidRDefault="006831B2">
      <w:pPr>
        <w:pStyle w:val="TM1"/>
        <w:rPr>
          <w:rFonts w:eastAsiaTheme="minorEastAsia"/>
          <w:b w:val="0"/>
          <w:bCs w:val="0"/>
          <w:caps w:val="0"/>
          <w:noProof/>
          <w:kern w:val="0"/>
          <w:szCs w:val="22"/>
          <w:lang w:eastAsia="fr-FR"/>
          <w14:ligatures w14:val="none"/>
        </w:rPr>
      </w:pPr>
      <w:hyperlink w:anchor="_Toc161759416" w:history="1">
        <w:r w:rsidR="00B14EDA" w:rsidRPr="0085225F">
          <w:rPr>
            <w:rStyle w:val="Lienhypertexte"/>
            <w:noProof/>
          </w:rPr>
          <w:t>15 Bibliographie</w:t>
        </w:r>
        <w:r w:rsidR="00B14EDA">
          <w:rPr>
            <w:noProof/>
            <w:webHidden/>
          </w:rPr>
          <w:tab/>
        </w:r>
        <w:r w:rsidR="00B14EDA">
          <w:rPr>
            <w:noProof/>
            <w:webHidden/>
          </w:rPr>
          <w:fldChar w:fldCharType="begin"/>
        </w:r>
        <w:r w:rsidR="00B14EDA">
          <w:rPr>
            <w:noProof/>
            <w:webHidden/>
          </w:rPr>
          <w:instrText xml:space="preserve"> PAGEREF _Toc161759416 \h </w:instrText>
        </w:r>
        <w:r w:rsidR="00B14EDA">
          <w:rPr>
            <w:noProof/>
            <w:webHidden/>
          </w:rPr>
        </w:r>
        <w:r w:rsidR="00B14EDA">
          <w:rPr>
            <w:noProof/>
            <w:webHidden/>
          </w:rPr>
          <w:fldChar w:fldCharType="separate"/>
        </w:r>
        <w:r w:rsidR="00DA4183">
          <w:rPr>
            <w:noProof/>
            <w:webHidden/>
          </w:rPr>
          <w:t>24</w:t>
        </w:r>
        <w:r w:rsidR="00B14EDA">
          <w:rPr>
            <w:noProof/>
            <w:webHidden/>
          </w:rPr>
          <w:fldChar w:fldCharType="end"/>
        </w:r>
      </w:hyperlink>
    </w:p>
    <w:p w14:paraId="27A29451" w14:textId="77777777" w:rsidR="00B14EDA" w:rsidRDefault="006831B2">
      <w:pPr>
        <w:pStyle w:val="TM1"/>
        <w:rPr>
          <w:rFonts w:eastAsiaTheme="minorEastAsia"/>
          <w:b w:val="0"/>
          <w:bCs w:val="0"/>
          <w:caps w:val="0"/>
          <w:noProof/>
          <w:kern w:val="0"/>
          <w:szCs w:val="22"/>
          <w:lang w:eastAsia="fr-FR"/>
          <w14:ligatures w14:val="none"/>
        </w:rPr>
      </w:pPr>
      <w:hyperlink w:anchor="_Toc161759417" w:history="1">
        <w:r w:rsidR="00B14EDA" w:rsidRPr="0085225F">
          <w:rPr>
            <w:rStyle w:val="Lienhypertexte"/>
            <w:noProof/>
          </w:rPr>
          <w:t>Annexes</w:t>
        </w:r>
        <w:r w:rsidR="00B14EDA">
          <w:rPr>
            <w:noProof/>
            <w:webHidden/>
          </w:rPr>
          <w:tab/>
        </w:r>
        <w:r w:rsidR="00B14EDA">
          <w:rPr>
            <w:noProof/>
            <w:webHidden/>
          </w:rPr>
          <w:fldChar w:fldCharType="begin"/>
        </w:r>
        <w:r w:rsidR="00B14EDA">
          <w:rPr>
            <w:noProof/>
            <w:webHidden/>
          </w:rPr>
          <w:instrText xml:space="preserve"> PAGEREF _Toc161759417 \h </w:instrText>
        </w:r>
        <w:r w:rsidR="00B14EDA">
          <w:rPr>
            <w:noProof/>
            <w:webHidden/>
          </w:rPr>
        </w:r>
        <w:r w:rsidR="00B14EDA">
          <w:rPr>
            <w:noProof/>
            <w:webHidden/>
          </w:rPr>
          <w:fldChar w:fldCharType="separate"/>
        </w:r>
        <w:r w:rsidR="00DA4183">
          <w:rPr>
            <w:noProof/>
            <w:webHidden/>
          </w:rPr>
          <w:t>25</w:t>
        </w:r>
        <w:r w:rsidR="00B14EDA">
          <w:rPr>
            <w:noProof/>
            <w:webHidden/>
          </w:rPr>
          <w:fldChar w:fldCharType="end"/>
        </w:r>
      </w:hyperlink>
    </w:p>
    <w:p w14:paraId="2320B7AD"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18" w:history="1">
        <w:r w:rsidR="00B14EDA" w:rsidRPr="0085225F">
          <w:rPr>
            <w:rStyle w:val="Lienhypertexte"/>
            <w:noProof/>
          </w:rPr>
          <w:t>Annexe 1 : Transfert de données vers la Plateforme de données en cancérologie</w:t>
        </w:r>
        <w:r w:rsidR="00B14EDA">
          <w:rPr>
            <w:noProof/>
            <w:webHidden/>
          </w:rPr>
          <w:tab/>
        </w:r>
        <w:r w:rsidR="00B14EDA">
          <w:rPr>
            <w:noProof/>
            <w:webHidden/>
          </w:rPr>
          <w:fldChar w:fldCharType="begin"/>
        </w:r>
        <w:r w:rsidR="00B14EDA">
          <w:rPr>
            <w:noProof/>
            <w:webHidden/>
          </w:rPr>
          <w:instrText xml:space="preserve"> PAGEREF _Toc161759418 \h </w:instrText>
        </w:r>
        <w:r w:rsidR="00B14EDA">
          <w:rPr>
            <w:noProof/>
            <w:webHidden/>
          </w:rPr>
        </w:r>
        <w:r w:rsidR="00B14EDA">
          <w:rPr>
            <w:noProof/>
            <w:webHidden/>
          </w:rPr>
          <w:fldChar w:fldCharType="separate"/>
        </w:r>
        <w:r w:rsidR="00DA4183">
          <w:rPr>
            <w:noProof/>
            <w:webHidden/>
          </w:rPr>
          <w:t>25</w:t>
        </w:r>
        <w:r w:rsidR="00B14EDA">
          <w:rPr>
            <w:noProof/>
            <w:webHidden/>
          </w:rPr>
          <w:fldChar w:fldCharType="end"/>
        </w:r>
      </w:hyperlink>
    </w:p>
    <w:p w14:paraId="39332FEE"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19" w:history="1">
        <w:r w:rsidR="00B14EDA" w:rsidRPr="0085225F">
          <w:rPr>
            <w:rStyle w:val="Lienhypertexte"/>
            <w:noProof/>
          </w:rPr>
          <w:t>Annexe 2 : Présentation de la plateforme de données en cancérologie</w:t>
        </w:r>
        <w:r w:rsidR="00B14EDA">
          <w:rPr>
            <w:noProof/>
            <w:webHidden/>
          </w:rPr>
          <w:tab/>
        </w:r>
        <w:r w:rsidR="00B14EDA">
          <w:rPr>
            <w:noProof/>
            <w:webHidden/>
          </w:rPr>
          <w:fldChar w:fldCharType="begin"/>
        </w:r>
        <w:r w:rsidR="00B14EDA">
          <w:rPr>
            <w:noProof/>
            <w:webHidden/>
          </w:rPr>
          <w:instrText xml:space="preserve"> PAGEREF _Toc161759419 \h </w:instrText>
        </w:r>
        <w:r w:rsidR="00B14EDA">
          <w:rPr>
            <w:noProof/>
            <w:webHidden/>
          </w:rPr>
        </w:r>
        <w:r w:rsidR="00B14EDA">
          <w:rPr>
            <w:noProof/>
            <w:webHidden/>
          </w:rPr>
          <w:fldChar w:fldCharType="separate"/>
        </w:r>
        <w:r w:rsidR="00DA4183">
          <w:rPr>
            <w:noProof/>
            <w:webHidden/>
          </w:rPr>
          <w:t>29</w:t>
        </w:r>
        <w:r w:rsidR="00B14EDA">
          <w:rPr>
            <w:noProof/>
            <w:webHidden/>
          </w:rPr>
          <w:fldChar w:fldCharType="end"/>
        </w:r>
      </w:hyperlink>
    </w:p>
    <w:p w14:paraId="7BC28D42" w14:textId="77777777" w:rsidR="00B14EDA" w:rsidRDefault="006831B2">
      <w:pPr>
        <w:pStyle w:val="TM2"/>
        <w:tabs>
          <w:tab w:val="right" w:leader="dot" w:pos="9062"/>
        </w:tabs>
        <w:rPr>
          <w:rFonts w:eastAsiaTheme="minorEastAsia"/>
          <w:smallCaps w:val="0"/>
          <w:noProof/>
          <w:kern w:val="0"/>
          <w:szCs w:val="22"/>
          <w:lang w:eastAsia="fr-FR"/>
          <w14:ligatures w14:val="none"/>
        </w:rPr>
      </w:pPr>
      <w:hyperlink w:anchor="_Toc161759420" w:history="1">
        <w:r w:rsidR="00B14EDA" w:rsidRPr="0085225F">
          <w:rPr>
            <w:rStyle w:val="Lienhypertexte"/>
            <w:noProof/>
          </w:rPr>
          <w:t>Annexe 2 : Aspects réglementaires</w:t>
        </w:r>
        <w:r w:rsidR="00B14EDA">
          <w:rPr>
            <w:noProof/>
            <w:webHidden/>
          </w:rPr>
          <w:tab/>
        </w:r>
        <w:r w:rsidR="00B14EDA">
          <w:rPr>
            <w:noProof/>
            <w:webHidden/>
          </w:rPr>
          <w:fldChar w:fldCharType="begin"/>
        </w:r>
        <w:r w:rsidR="00B14EDA">
          <w:rPr>
            <w:noProof/>
            <w:webHidden/>
          </w:rPr>
          <w:instrText xml:space="preserve"> PAGEREF _Toc161759420 \h </w:instrText>
        </w:r>
        <w:r w:rsidR="00B14EDA">
          <w:rPr>
            <w:noProof/>
            <w:webHidden/>
          </w:rPr>
        </w:r>
        <w:r w:rsidR="00B14EDA">
          <w:rPr>
            <w:noProof/>
            <w:webHidden/>
          </w:rPr>
          <w:fldChar w:fldCharType="separate"/>
        </w:r>
        <w:r w:rsidR="00DA4183">
          <w:rPr>
            <w:noProof/>
            <w:webHidden/>
          </w:rPr>
          <w:t>38</w:t>
        </w:r>
        <w:r w:rsidR="00B14EDA">
          <w:rPr>
            <w:noProof/>
            <w:webHidden/>
          </w:rPr>
          <w:fldChar w:fldCharType="end"/>
        </w:r>
      </w:hyperlink>
    </w:p>
    <w:p w14:paraId="71B207F9" w14:textId="77777777" w:rsidR="00B14EDA" w:rsidRDefault="006831B2">
      <w:pPr>
        <w:pStyle w:val="TM3"/>
        <w:rPr>
          <w:rFonts w:eastAsiaTheme="minorEastAsia"/>
          <w:iCs w:val="0"/>
          <w:noProof/>
          <w:kern w:val="0"/>
          <w:szCs w:val="22"/>
          <w:lang w:eastAsia="fr-FR"/>
          <w14:ligatures w14:val="none"/>
        </w:rPr>
      </w:pPr>
      <w:hyperlink w:anchor="_Toc161759421" w:history="1">
        <w:r w:rsidR="00B14EDA" w:rsidRPr="0085225F">
          <w:rPr>
            <w:rStyle w:val="Lienhypertexte"/>
            <w:noProof/>
          </w:rPr>
          <w:t>1.</w:t>
        </w:r>
        <w:r w:rsidR="00B14EDA">
          <w:rPr>
            <w:rFonts w:eastAsiaTheme="minorEastAsia"/>
            <w:iCs w:val="0"/>
            <w:noProof/>
            <w:kern w:val="0"/>
            <w:szCs w:val="22"/>
            <w:lang w:eastAsia="fr-FR"/>
            <w14:ligatures w14:val="none"/>
          </w:rPr>
          <w:tab/>
        </w:r>
        <w:r w:rsidR="00B14EDA" w:rsidRPr="0085225F">
          <w:rPr>
            <w:rStyle w:val="Lienhypertexte"/>
            <w:noProof/>
          </w:rPr>
          <w:t>Avis du Comité scientifique et éthique de la Plateforme de données en cancérologie, du CESREES et autorisation de la CNIL</w:t>
        </w:r>
        <w:r w:rsidR="00B14EDA">
          <w:rPr>
            <w:noProof/>
            <w:webHidden/>
          </w:rPr>
          <w:tab/>
        </w:r>
        <w:r w:rsidR="00B14EDA">
          <w:rPr>
            <w:noProof/>
            <w:webHidden/>
          </w:rPr>
          <w:fldChar w:fldCharType="begin"/>
        </w:r>
        <w:r w:rsidR="00B14EDA">
          <w:rPr>
            <w:noProof/>
            <w:webHidden/>
          </w:rPr>
          <w:instrText xml:space="preserve"> PAGEREF _Toc161759421 \h </w:instrText>
        </w:r>
        <w:r w:rsidR="00B14EDA">
          <w:rPr>
            <w:noProof/>
            <w:webHidden/>
          </w:rPr>
        </w:r>
        <w:r w:rsidR="00B14EDA">
          <w:rPr>
            <w:noProof/>
            <w:webHidden/>
          </w:rPr>
          <w:fldChar w:fldCharType="separate"/>
        </w:r>
        <w:r w:rsidR="00DA4183">
          <w:rPr>
            <w:noProof/>
            <w:webHidden/>
          </w:rPr>
          <w:t>38</w:t>
        </w:r>
        <w:r w:rsidR="00B14EDA">
          <w:rPr>
            <w:noProof/>
            <w:webHidden/>
          </w:rPr>
          <w:fldChar w:fldCharType="end"/>
        </w:r>
      </w:hyperlink>
    </w:p>
    <w:p w14:paraId="55E8C3FB" w14:textId="77777777" w:rsidR="00B14EDA" w:rsidRDefault="006831B2">
      <w:pPr>
        <w:pStyle w:val="TM3"/>
        <w:rPr>
          <w:rFonts w:eastAsiaTheme="minorEastAsia"/>
          <w:iCs w:val="0"/>
          <w:noProof/>
          <w:kern w:val="0"/>
          <w:szCs w:val="22"/>
          <w:lang w:eastAsia="fr-FR"/>
          <w14:ligatures w14:val="none"/>
        </w:rPr>
      </w:pPr>
      <w:hyperlink w:anchor="_Toc161759422" w:history="1">
        <w:r w:rsidR="00B14EDA" w:rsidRPr="0085225F">
          <w:rPr>
            <w:rStyle w:val="Lienhypertexte"/>
            <w:noProof/>
          </w:rPr>
          <w:t>2.</w:t>
        </w:r>
        <w:r w:rsidR="00B14EDA">
          <w:rPr>
            <w:rFonts w:eastAsiaTheme="minorEastAsia"/>
            <w:iCs w:val="0"/>
            <w:noProof/>
            <w:kern w:val="0"/>
            <w:szCs w:val="22"/>
            <w:lang w:eastAsia="fr-FR"/>
            <w14:ligatures w14:val="none"/>
          </w:rPr>
          <w:tab/>
        </w:r>
        <w:r w:rsidR="00B14EDA" w:rsidRPr="0085225F">
          <w:rPr>
            <w:rStyle w:val="Lienhypertexte"/>
            <w:noProof/>
          </w:rPr>
          <w:t>Accès aux données et confidentialité</w:t>
        </w:r>
        <w:r w:rsidR="00B14EDA">
          <w:rPr>
            <w:noProof/>
            <w:webHidden/>
          </w:rPr>
          <w:tab/>
        </w:r>
        <w:r w:rsidR="00B14EDA">
          <w:rPr>
            <w:noProof/>
            <w:webHidden/>
          </w:rPr>
          <w:fldChar w:fldCharType="begin"/>
        </w:r>
        <w:r w:rsidR="00B14EDA">
          <w:rPr>
            <w:noProof/>
            <w:webHidden/>
          </w:rPr>
          <w:instrText xml:space="preserve"> PAGEREF _Toc161759422 \h </w:instrText>
        </w:r>
        <w:r w:rsidR="00B14EDA">
          <w:rPr>
            <w:noProof/>
            <w:webHidden/>
          </w:rPr>
        </w:r>
        <w:r w:rsidR="00B14EDA">
          <w:rPr>
            <w:noProof/>
            <w:webHidden/>
          </w:rPr>
          <w:fldChar w:fldCharType="separate"/>
        </w:r>
        <w:r w:rsidR="00DA4183">
          <w:rPr>
            <w:noProof/>
            <w:webHidden/>
          </w:rPr>
          <w:t>38</w:t>
        </w:r>
        <w:r w:rsidR="00B14EDA">
          <w:rPr>
            <w:noProof/>
            <w:webHidden/>
          </w:rPr>
          <w:fldChar w:fldCharType="end"/>
        </w:r>
      </w:hyperlink>
    </w:p>
    <w:p w14:paraId="5DB35D02" w14:textId="77777777" w:rsidR="00B14EDA" w:rsidRDefault="006831B2">
      <w:pPr>
        <w:pStyle w:val="TM3"/>
        <w:rPr>
          <w:rFonts w:eastAsiaTheme="minorEastAsia"/>
          <w:iCs w:val="0"/>
          <w:noProof/>
          <w:kern w:val="0"/>
          <w:szCs w:val="22"/>
          <w:lang w:eastAsia="fr-FR"/>
          <w14:ligatures w14:val="none"/>
        </w:rPr>
      </w:pPr>
      <w:hyperlink w:anchor="_Toc161759423" w:history="1">
        <w:r w:rsidR="00B14EDA" w:rsidRPr="0085225F">
          <w:rPr>
            <w:rStyle w:val="Lienhypertexte"/>
            <w:noProof/>
          </w:rPr>
          <w:t>3.</w:t>
        </w:r>
        <w:r w:rsidR="00B14EDA">
          <w:rPr>
            <w:rFonts w:eastAsiaTheme="minorEastAsia"/>
            <w:iCs w:val="0"/>
            <w:noProof/>
            <w:kern w:val="0"/>
            <w:szCs w:val="22"/>
            <w:lang w:eastAsia="fr-FR"/>
            <w14:ligatures w14:val="none"/>
          </w:rPr>
          <w:tab/>
        </w:r>
        <w:r w:rsidR="00B14EDA" w:rsidRPr="0085225F">
          <w:rPr>
            <w:rStyle w:val="Lienhypertexte"/>
            <w:noProof/>
          </w:rPr>
          <w:t>Audit</w:t>
        </w:r>
        <w:r w:rsidR="00B14EDA">
          <w:rPr>
            <w:noProof/>
            <w:webHidden/>
          </w:rPr>
          <w:tab/>
        </w:r>
        <w:r w:rsidR="00B14EDA">
          <w:rPr>
            <w:noProof/>
            <w:webHidden/>
          </w:rPr>
          <w:fldChar w:fldCharType="begin"/>
        </w:r>
        <w:r w:rsidR="00B14EDA">
          <w:rPr>
            <w:noProof/>
            <w:webHidden/>
          </w:rPr>
          <w:instrText xml:space="preserve"> PAGEREF _Toc161759423 \h </w:instrText>
        </w:r>
        <w:r w:rsidR="00B14EDA">
          <w:rPr>
            <w:noProof/>
            <w:webHidden/>
          </w:rPr>
        </w:r>
        <w:r w:rsidR="00B14EDA">
          <w:rPr>
            <w:noProof/>
            <w:webHidden/>
          </w:rPr>
          <w:fldChar w:fldCharType="separate"/>
        </w:r>
        <w:r w:rsidR="00DA4183">
          <w:rPr>
            <w:noProof/>
            <w:webHidden/>
          </w:rPr>
          <w:t>38</w:t>
        </w:r>
        <w:r w:rsidR="00B14EDA">
          <w:rPr>
            <w:noProof/>
            <w:webHidden/>
          </w:rPr>
          <w:fldChar w:fldCharType="end"/>
        </w:r>
      </w:hyperlink>
    </w:p>
    <w:p w14:paraId="4503F3FD" w14:textId="77777777" w:rsidR="00B14EDA" w:rsidRDefault="006831B2">
      <w:pPr>
        <w:pStyle w:val="TM3"/>
        <w:rPr>
          <w:rFonts w:eastAsiaTheme="minorEastAsia"/>
          <w:iCs w:val="0"/>
          <w:noProof/>
          <w:kern w:val="0"/>
          <w:szCs w:val="22"/>
          <w:lang w:eastAsia="fr-FR"/>
          <w14:ligatures w14:val="none"/>
        </w:rPr>
      </w:pPr>
      <w:hyperlink w:anchor="_Toc161759424" w:history="1">
        <w:r w:rsidR="00B14EDA" w:rsidRPr="0085225F">
          <w:rPr>
            <w:rStyle w:val="Lienhypertexte"/>
            <w:noProof/>
          </w:rPr>
          <w:t>4.</w:t>
        </w:r>
        <w:r w:rsidR="00B14EDA">
          <w:rPr>
            <w:rFonts w:eastAsiaTheme="minorEastAsia"/>
            <w:iCs w:val="0"/>
            <w:noProof/>
            <w:kern w:val="0"/>
            <w:szCs w:val="22"/>
            <w:lang w:eastAsia="fr-FR"/>
            <w14:ligatures w14:val="none"/>
          </w:rPr>
          <w:tab/>
        </w:r>
        <w:r w:rsidR="00B14EDA" w:rsidRPr="0085225F">
          <w:rPr>
            <w:rStyle w:val="Lienhypertexte"/>
            <w:noProof/>
          </w:rPr>
          <w:t>Archivage des documents et Rapport final de l’étude</w:t>
        </w:r>
        <w:r w:rsidR="00B14EDA">
          <w:rPr>
            <w:noProof/>
            <w:webHidden/>
          </w:rPr>
          <w:tab/>
        </w:r>
        <w:r w:rsidR="00B14EDA">
          <w:rPr>
            <w:noProof/>
            <w:webHidden/>
          </w:rPr>
          <w:fldChar w:fldCharType="begin"/>
        </w:r>
        <w:r w:rsidR="00B14EDA">
          <w:rPr>
            <w:noProof/>
            <w:webHidden/>
          </w:rPr>
          <w:instrText xml:space="preserve"> PAGEREF _Toc161759424 \h </w:instrText>
        </w:r>
        <w:r w:rsidR="00B14EDA">
          <w:rPr>
            <w:noProof/>
            <w:webHidden/>
          </w:rPr>
        </w:r>
        <w:r w:rsidR="00B14EDA">
          <w:rPr>
            <w:noProof/>
            <w:webHidden/>
          </w:rPr>
          <w:fldChar w:fldCharType="separate"/>
        </w:r>
        <w:r w:rsidR="00DA4183">
          <w:rPr>
            <w:noProof/>
            <w:webHidden/>
          </w:rPr>
          <w:t>38</w:t>
        </w:r>
        <w:r w:rsidR="00B14EDA">
          <w:rPr>
            <w:noProof/>
            <w:webHidden/>
          </w:rPr>
          <w:fldChar w:fldCharType="end"/>
        </w:r>
      </w:hyperlink>
    </w:p>
    <w:p w14:paraId="43B3F7B8" w14:textId="77777777" w:rsidR="00B14EDA" w:rsidRDefault="006831B2">
      <w:pPr>
        <w:pStyle w:val="TM3"/>
        <w:rPr>
          <w:rFonts w:eastAsiaTheme="minorEastAsia"/>
          <w:iCs w:val="0"/>
          <w:noProof/>
          <w:kern w:val="0"/>
          <w:szCs w:val="22"/>
          <w:lang w:eastAsia="fr-FR"/>
          <w14:ligatures w14:val="none"/>
        </w:rPr>
      </w:pPr>
      <w:hyperlink w:anchor="_Toc161759425" w:history="1">
        <w:r w:rsidR="00B14EDA" w:rsidRPr="0085225F">
          <w:rPr>
            <w:rStyle w:val="Lienhypertexte"/>
            <w:noProof/>
          </w:rPr>
          <w:t>5.</w:t>
        </w:r>
        <w:r w:rsidR="00B14EDA">
          <w:rPr>
            <w:rFonts w:eastAsiaTheme="minorEastAsia"/>
            <w:iCs w:val="0"/>
            <w:noProof/>
            <w:kern w:val="0"/>
            <w:szCs w:val="22"/>
            <w:lang w:eastAsia="fr-FR"/>
            <w14:ligatures w14:val="none"/>
          </w:rPr>
          <w:tab/>
        </w:r>
        <w:r w:rsidR="00B14EDA" w:rsidRPr="0085225F">
          <w:rPr>
            <w:rStyle w:val="Lienhypertexte"/>
            <w:noProof/>
          </w:rPr>
          <w:t>Délibération de la CNIL - Délibération 2023-040 du 20/04/2023</w:t>
        </w:r>
        <w:r w:rsidR="00B14EDA">
          <w:rPr>
            <w:noProof/>
            <w:webHidden/>
          </w:rPr>
          <w:tab/>
        </w:r>
        <w:r w:rsidR="00B14EDA">
          <w:rPr>
            <w:noProof/>
            <w:webHidden/>
          </w:rPr>
          <w:fldChar w:fldCharType="begin"/>
        </w:r>
        <w:r w:rsidR="00B14EDA">
          <w:rPr>
            <w:noProof/>
            <w:webHidden/>
          </w:rPr>
          <w:instrText xml:space="preserve"> PAGEREF _Toc161759425 \h </w:instrText>
        </w:r>
        <w:r w:rsidR="00B14EDA">
          <w:rPr>
            <w:noProof/>
            <w:webHidden/>
          </w:rPr>
        </w:r>
        <w:r w:rsidR="00B14EDA">
          <w:rPr>
            <w:noProof/>
            <w:webHidden/>
          </w:rPr>
          <w:fldChar w:fldCharType="separate"/>
        </w:r>
        <w:r w:rsidR="00DA4183">
          <w:rPr>
            <w:noProof/>
            <w:webHidden/>
          </w:rPr>
          <w:t>39</w:t>
        </w:r>
        <w:r w:rsidR="00B14EDA">
          <w:rPr>
            <w:noProof/>
            <w:webHidden/>
          </w:rPr>
          <w:fldChar w:fldCharType="end"/>
        </w:r>
      </w:hyperlink>
    </w:p>
    <w:p w14:paraId="6A331A45" w14:textId="77777777" w:rsidR="00B14EDA" w:rsidRDefault="006831B2">
      <w:pPr>
        <w:pStyle w:val="TM3"/>
        <w:rPr>
          <w:rFonts w:eastAsiaTheme="minorEastAsia"/>
          <w:iCs w:val="0"/>
          <w:noProof/>
          <w:kern w:val="0"/>
          <w:szCs w:val="22"/>
          <w:lang w:eastAsia="fr-FR"/>
          <w14:ligatures w14:val="none"/>
        </w:rPr>
      </w:pPr>
      <w:hyperlink w:anchor="_Toc161759426" w:history="1">
        <w:r w:rsidR="00B14EDA" w:rsidRPr="0085225F">
          <w:rPr>
            <w:rStyle w:val="Lienhypertexte"/>
            <w:noProof/>
          </w:rPr>
          <w:t>6.</w:t>
        </w:r>
        <w:r w:rsidR="00B14EDA">
          <w:rPr>
            <w:rFonts w:eastAsiaTheme="minorEastAsia"/>
            <w:iCs w:val="0"/>
            <w:noProof/>
            <w:kern w:val="0"/>
            <w:szCs w:val="22"/>
            <w:lang w:eastAsia="fr-FR"/>
            <w14:ligatures w14:val="none"/>
          </w:rPr>
          <w:tab/>
        </w:r>
        <w:r w:rsidR="00B14EDA" w:rsidRPr="0085225F">
          <w:rPr>
            <w:rStyle w:val="Lienhypertexte"/>
            <w:noProof/>
          </w:rPr>
          <w:t>Délibération de la CNIL - Délibération 2019-083 du 20/06/2019</w:t>
        </w:r>
        <w:r w:rsidR="00B14EDA">
          <w:rPr>
            <w:noProof/>
            <w:webHidden/>
          </w:rPr>
          <w:tab/>
        </w:r>
        <w:r w:rsidR="00B14EDA">
          <w:rPr>
            <w:noProof/>
            <w:webHidden/>
          </w:rPr>
          <w:fldChar w:fldCharType="begin"/>
        </w:r>
        <w:r w:rsidR="00B14EDA">
          <w:rPr>
            <w:noProof/>
            <w:webHidden/>
          </w:rPr>
          <w:instrText xml:space="preserve"> PAGEREF _Toc161759426 \h </w:instrText>
        </w:r>
        <w:r w:rsidR="00B14EDA">
          <w:rPr>
            <w:noProof/>
            <w:webHidden/>
          </w:rPr>
        </w:r>
        <w:r w:rsidR="00B14EDA">
          <w:rPr>
            <w:noProof/>
            <w:webHidden/>
          </w:rPr>
          <w:fldChar w:fldCharType="separate"/>
        </w:r>
        <w:r w:rsidR="00DA4183">
          <w:rPr>
            <w:noProof/>
            <w:webHidden/>
          </w:rPr>
          <w:t>47</w:t>
        </w:r>
        <w:r w:rsidR="00B14EDA">
          <w:rPr>
            <w:noProof/>
            <w:webHidden/>
          </w:rPr>
          <w:fldChar w:fldCharType="end"/>
        </w:r>
      </w:hyperlink>
    </w:p>
    <w:p w14:paraId="4583AD65" w14:textId="77777777" w:rsidR="00B14EDA" w:rsidRDefault="006831B2">
      <w:pPr>
        <w:pStyle w:val="TM3"/>
        <w:rPr>
          <w:rFonts w:eastAsiaTheme="minorEastAsia"/>
          <w:iCs w:val="0"/>
          <w:noProof/>
          <w:kern w:val="0"/>
          <w:szCs w:val="22"/>
          <w:lang w:eastAsia="fr-FR"/>
          <w14:ligatures w14:val="none"/>
        </w:rPr>
      </w:pPr>
      <w:hyperlink w:anchor="_Toc161759427" w:history="1">
        <w:r w:rsidR="00B14EDA" w:rsidRPr="0085225F">
          <w:rPr>
            <w:rStyle w:val="Lienhypertexte"/>
            <w:noProof/>
          </w:rPr>
          <w:t>7.</w:t>
        </w:r>
        <w:r w:rsidR="00B14EDA">
          <w:rPr>
            <w:rFonts w:eastAsiaTheme="minorEastAsia"/>
            <w:iCs w:val="0"/>
            <w:noProof/>
            <w:kern w:val="0"/>
            <w:szCs w:val="22"/>
            <w:lang w:eastAsia="fr-FR"/>
            <w14:ligatures w14:val="none"/>
          </w:rPr>
          <w:tab/>
        </w:r>
        <w:r w:rsidR="00B14EDA" w:rsidRPr="0085225F">
          <w:rPr>
            <w:rStyle w:val="Lienhypertexte"/>
            <w:noProof/>
          </w:rPr>
          <w:t>Avis du Comité scientifique et éthique de la plateforme de données en cancérologie</w:t>
        </w:r>
        <w:r w:rsidR="00B14EDA">
          <w:rPr>
            <w:noProof/>
            <w:webHidden/>
          </w:rPr>
          <w:tab/>
        </w:r>
        <w:r w:rsidR="00B14EDA">
          <w:rPr>
            <w:noProof/>
            <w:webHidden/>
          </w:rPr>
          <w:fldChar w:fldCharType="begin"/>
        </w:r>
        <w:r w:rsidR="00B14EDA">
          <w:rPr>
            <w:noProof/>
            <w:webHidden/>
          </w:rPr>
          <w:instrText xml:space="preserve"> PAGEREF _Toc161759427 \h </w:instrText>
        </w:r>
        <w:r w:rsidR="00B14EDA">
          <w:rPr>
            <w:noProof/>
            <w:webHidden/>
          </w:rPr>
        </w:r>
        <w:r w:rsidR="00B14EDA">
          <w:rPr>
            <w:noProof/>
            <w:webHidden/>
          </w:rPr>
          <w:fldChar w:fldCharType="separate"/>
        </w:r>
        <w:r w:rsidR="00DA4183">
          <w:rPr>
            <w:noProof/>
            <w:webHidden/>
          </w:rPr>
          <w:t>52</w:t>
        </w:r>
        <w:r w:rsidR="00B14EDA">
          <w:rPr>
            <w:noProof/>
            <w:webHidden/>
          </w:rPr>
          <w:fldChar w:fldCharType="end"/>
        </w:r>
      </w:hyperlink>
    </w:p>
    <w:p w14:paraId="3BFB8108" w14:textId="2649EED3" w:rsidR="00A41A26" w:rsidRPr="00903EBA" w:rsidRDefault="000E0B75" w:rsidP="00903EBA">
      <w:pPr>
        <w:jc w:val="both"/>
        <w:rPr>
          <w:b/>
          <w:bCs/>
          <w:color w:val="0070C0"/>
          <w:sz w:val="32"/>
          <w:szCs w:val="32"/>
        </w:rPr>
      </w:pPr>
      <w:r w:rsidRPr="008A5BCC">
        <w:rPr>
          <w:color w:val="595959"/>
          <w:szCs w:val="20"/>
        </w:rPr>
        <w:fldChar w:fldCharType="end"/>
      </w:r>
      <w:bookmarkStart w:id="0" w:name="_Toc176794578"/>
      <w:bookmarkStart w:id="1" w:name="_Toc220322429"/>
      <w:bookmarkStart w:id="2" w:name="_Toc220385074"/>
      <w:bookmarkStart w:id="3" w:name="_Toc234374553"/>
      <w:bookmarkStart w:id="4" w:name="_Toc234374640"/>
      <w:bookmarkStart w:id="5" w:name="_Toc234375141"/>
      <w:bookmarkStart w:id="6" w:name="_Toc243194766"/>
      <w:bookmarkStart w:id="7" w:name="_Toc243195012"/>
      <w:bookmarkStart w:id="8" w:name="_Toc243195135"/>
      <w:bookmarkStart w:id="9" w:name="_Toc243200205"/>
      <w:bookmarkStart w:id="10" w:name="_Toc243206520"/>
      <w:r w:rsidR="00CB7C01" w:rsidRPr="008A5BCC">
        <w:br w:type="page"/>
      </w:r>
      <w:bookmarkStart w:id="11" w:name="_Toc220322432"/>
      <w:bookmarkStart w:id="12" w:name="_Toc220322428"/>
      <w:bookmarkStart w:id="13" w:name="_Toc220385073"/>
      <w:bookmarkStart w:id="14" w:name="_Toc230084803"/>
      <w:bookmarkStart w:id="15" w:name="_Toc234374554"/>
      <w:bookmarkStart w:id="16" w:name="_Toc234940226"/>
      <w:bookmarkStart w:id="17" w:name="_Toc234940373"/>
      <w:bookmarkEnd w:id="0"/>
      <w:bookmarkEnd w:id="1"/>
      <w:bookmarkEnd w:id="2"/>
      <w:bookmarkEnd w:id="3"/>
      <w:bookmarkEnd w:id="4"/>
      <w:bookmarkEnd w:id="5"/>
      <w:bookmarkEnd w:id="6"/>
      <w:bookmarkEnd w:id="7"/>
      <w:bookmarkEnd w:id="8"/>
      <w:bookmarkEnd w:id="9"/>
      <w:bookmarkEnd w:id="10"/>
      <w:r w:rsidR="00A7730D" w:rsidRPr="00B50B75">
        <w:rPr>
          <w:b/>
          <w:bCs/>
          <w:color w:val="0070C0"/>
          <w:sz w:val="32"/>
          <w:szCs w:val="32"/>
        </w:rPr>
        <w:t>GLOSSAIRE</w:t>
      </w:r>
    </w:p>
    <w:p w14:paraId="07237FB5" w14:textId="57D34116" w:rsidR="00A7730D" w:rsidRPr="00903EBA" w:rsidRDefault="00A41A26" w:rsidP="00903EBA">
      <w:pPr>
        <w:ind w:left="993" w:hanging="993"/>
        <w:jc w:val="both"/>
        <w:rPr>
          <w:i/>
          <w:iCs/>
        </w:rPr>
      </w:pPr>
      <w:r w:rsidRPr="00B07A30">
        <w:rPr>
          <w:i/>
          <w:iCs/>
          <w:highlight w:val="yellow"/>
        </w:rPr>
        <w:t>À compléter</w:t>
      </w:r>
    </w:p>
    <w:p w14:paraId="77E6E60B" w14:textId="77777777" w:rsidR="0012428C" w:rsidRDefault="0012428C" w:rsidP="008D6650">
      <w:pPr>
        <w:ind w:left="1134" w:hanging="1134"/>
        <w:jc w:val="both"/>
      </w:pPr>
      <w:r w:rsidRPr="0012428C">
        <w:t xml:space="preserve">AAP </w:t>
      </w:r>
      <w:r>
        <w:tab/>
        <w:t>A</w:t>
      </w:r>
      <w:r w:rsidRPr="0012428C">
        <w:t>utorisation d’accès précoce</w:t>
      </w:r>
    </w:p>
    <w:p w14:paraId="7014230A" w14:textId="77777777" w:rsidR="0012428C" w:rsidRDefault="0012428C" w:rsidP="008D6650">
      <w:pPr>
        <w:ind w:left="1134" w:hanging="1134"/>
        <w:jc w:val="both"/>
      </w:pPr>
      <w:r w:rsidRPr="0012428C">
        <w:t xml:space="preserve">AAC </w:t>
      </w:r>
      <w:r>
        <w:tab/>
        <w:t>A</w:t>
      </w:r>
      <w:r w:rsidRPr="0012428C">
        <w:t>utorisation d’accès compassionnel</w:t>
      </w:r>
    </w:p>
    <w:p w14:paraId="4F9117F7" w14:textId="77777777" w:rsidR="0012428C" w:rsidRDefault="0012428C" w:rsidP="008D6650">
      <w:pPr>
        <w:ind w:left="1134" w:hanging="1134"/>
        <w:jc w:val="both"/>
      </w:pPr>
      <w:r>
        <w:t>ALD</w:t>
      </w:r>
      <w:r>
        <w:tab/>
        <w:t>Affection longue durée</w:t>
      </w:r>
    </w:p>
    <w:p w14:paraId="0C5136C6" w14:textId="77777777" w:rsidR="0012428C" w:rsidRDefault="0012428C" w:rsidP="008D6650">
      <w:pPr>
        <w:ind w:left="1134" w:hanging="1134"/>
        <w:jc w:val="both"/>
      </w:pPr>
      <w:r w:rsidRPr="0012428C">
        <w:t>ATU</w:t>
      </w:r>
      <w:r>
        <w:tab/>
        <w:t>A</w:t>
      </w:r>
      <w:r w:rsidRPr="0012428C">
        <w:t>utorisation temporaire d’utilisation</w:t>
      </w:r>
    </w:p>
    <w:p w14:paraId="22AF0DD1" w14:textId="77777777" w:rsidR="0012428C" w:rsidRDefault="0012428C" w:rsidP="008D6650">
      <w:pPr>
        <w:ind w:left="1134" w:hanging="1134"/>
        <w:jc w:val="both"/>
      </w:pPr>
      <w:r w:rsidRPr="0012428C">
        <w:t xml:space="preserve">CCAM </w:t>
      </w:r>
      <w:r>
        <w:tab/>
        <w:t>C</w:t>
      </w:r>
      <w:r w:rsidRPr="0012428C">
        <w:t>lassification commune des actes médicaux</w:t>
      </w:r>
    </w:p>
    <w:p w14:paraId="30B1D422" w14:textId="77777777" w:rsidR="00E27325" w:rsidRDefault="00E27325" w:rsidP="008D6650">
      <w:pPr>
        <w:ind w:left="1134" w:hanging="1134"/>
        <w:jc w:val="both"/>
      </w:pPr>
      <w:r>
        <w:t>CESREES</w:t>
      </w:r>
      <w:r>
        <w:tab/>
      </w:r>
      <w:r w:rsidR="0099162E" w:rsidRPr="0099162E">
        <w:t>Comité Éthique et Scientifique pour les Recherches, les Études et les Évaluations dans le domaine de la santé</w:t>
      </w:r>
    </w:p>
    <w:p w14:paraId="3123E196" w14:textId="77777777" w:rsidR="00A772EA" w:rsidRDefault="0012428C" w:rsidP="008D6650">
      <w:pPr>
        <w:ind w:left="1134" w:hanging="1134"/>
        <w:jc w:val="both"/>
      </w:pPr>
      <w:proofErr w:type="spellStart"/>
      <w:r w:rsidRPr="0012428C">
        <w:t>CMUc</w:t>
      </w:r>
      <w:proofErr w:type="spellEnd"/>
      <w:r w:rsidR="00A772EA">
        <w:tab/>
      </w:r>
      <w:r w:rsidRPr="0012428C">
        <w:t>Couverture mutuelle universelle complémentaire</w:t>
      </w:r>
    </w:p>
    <w:p w14:paraId="48920B09" w14:textId="77777777" w:rsidR="00A772EA" w:rsidRDefault="00A772EA" w:rsidP="008D6650">
      <w:pPr>
        <w:ind w:left="1134" w:hanging="1134"/>
        <w:jc w:val="both"/>
      </w:pPr>
      <w:r>
        <w:t>CNAM</w:t>
      </w:r>
      <w:r>
        <w:tab/>
        <w:t>Caisse nationale de l’assurance maladie</w:t>
      </w:r>
    </w:p>
    <w:p w14:paraId="25BE466B" w14:textId="77777777" w:rsidR="00E27325" w:rsidRDefault="00E27325" w:rsidP="008D6650">
      <w:pPr>
        <w:ind w:left="1134" w:hanging="1134"/>
        <w:jc w:val="both"/>
      </w:pPr>
      <w:r>
        <w:t>CNIL</w:t>
      </w:r>
      <w:r>
        <w:tab/>
        <w:t>Commission nationale de l’informatique et des libertés</w:t>
      </w:r>
    </w:p>
    <w:p w14:paraId="0FA02ACD" w14:textId="77777777" w:rsidR="00E27325" w:rsidRDefault="00E27325" w:rsidP="008D6650">
      <w:pPr>
        <w:ind w:left="1134" w:hanging="1134"/>
        <w:jc w:val="both"/>
      </w:pPr>
      <w:r>
        <w:t>CRCDC</w:t>
      </w:r>
      <w:r>
        <w:tab/>
        <w:t xml:space="preserve">Centres régionaux </w:t>
      </w:r>
      <w:r w:rsidRPr="0012025E">
        <w:t>de coordination des dépistages des cancers</w:t>
      </w:r>
    </w:p>
    <w:p w14:paraId="0E96A93B" w14:textId="77777777" w:rsidR="002A448D" w:rsidRDefault="002A448D" w:rsidP="008D6650">
      <w:pPr>
        <w:ind w:left="1134" w:hanging="1134"/>
        <w:jc w:val="both"/>
      </w:pPr>
      <w:r>
        <w:t>CSP</w:t>
      </w:r>
      <w:r>
        <w:tab/>
        <w:t>Code de la santé publique</w:t>
      </w:r>
    </w:p>
    <w:p w14:paraId="44E6FD19" w14:textId="77777777" w:rsidR="0012428C" w:rsidRDefault="00A772EA" w:rsidP="008D6650">
      <w:pPr>
        <w:ind w:left="1134" w:hanging="1134"/>
        <w:jc w:val="both"/>
      </w:pPr>
      <w:r w:rsidRPr="0012428C">
        <w:t>CSS</w:t>
      </w:r>
      <w:r>
        <w:tab/>
      </w:r>
      <w:r w:rsidR="0012428C" w:rsidRPr="0012428C">
        <w:t>Complémentaire santé solidaire</w:t>
      </w:r>
    </w:p>
    <w:p w14:paraId="6C88788D" w14:textId="77777777" w:rsidR="0012428C" w:rsidRDefault="0012428C" w:rsidP="008D6650">
      <w:pPr>
        <w:ind w:left="1134" w:hanging="1134"/>
        <w:jc w:val="both"/>
      </w:pPr>
      <w:r w:rsidRPr="0012428C">
        <w:t>DCIR</w:t>
      </w:r>
      <w:r>
        <w:tab/>
        <w:t>D</w:t>
      </w:r>
      <w:r w:rsidRPr="0012428C">
        <w:t>atamart de consommation inter-régime</w:t>
      </w:r>
    </w:p>
    <w:p w14:paraId="4A85BC92" w14:textId="77777777" w:rsidR="0012428C" w:rsidRDefault="0012428C" w:rsidP="008D6650">
      <w:pPr>
        <w:ind w:left="1134" w:hanging="1134"/>
        <w:jc w:val="both"/>
      </w:pPr>
      <w:r w:rsidRPr="0012428C">
        <w:t>HAD</w:t>
      </w:r>
      <w:r>
        <w:tab/>
      </w:r>
      <w:r w:rsidRPr="0012428C">
        <w:t>Hospitalisation à domicile</w:t>
      </w:r>
    </w:p>
    <w:p w14:paraId="07A016EB" w14:textId="77777777" w:rsidR="00491867" w:rsidRDefault="00491867" w:rsidP="008D6650">
      <w:pPr>
        <w:ind w:left="1134" w:hanging="1134"/>
        <w:jc w:val="both"/>
      </w:pPr>
      <w:r>
        <w:t>HDH</w:t>
      </w:r>
      <w:r>
        <w:tab/>
      </w:r>
      <w:proofErr w:type="spellStart"/>
      <w:r>
        <w:t>Health</w:t>
      </w:r>
      <w:proofErr w:type="spellEnd"/>
      <w:r>
        <w:t xml:space="preserve"> data hub (plateforme de données de santé)</w:t>
      </w:r>
    </w:p>
    <w:p w14:paraId="239BDBBD" w14:textId="6F97159B" w:rsidR="0012428C" w:rsidRDefault="00903EBA" w:rsidP="008D6650">
      <w:pPr>
        <w:ind w:left="1134" w:hanging="1134"/>
        <w:jc w:val="both"/>
      </w:pPr>
      <w:r>
        <w:t>Institut</w:t>
      </w:r>
      <w:r w:rsidR="0012428C">
        <w:tab/>
        <w:t>Institut national du cancer</w:t>
      </w:r>
    </w:p>
    <w:p w14:paraId="2D499523" w14:textId="77777777" w:rsidR="0012428C" w:rsidRDefault="0012428C" w:rsidP="008D6650">
      <w:pPr>
        <w:ind w:left="1134" w:hanging="1134"/>
        <w:jc w:val="both"/>
      </w:pPr>
      <w:r>
        <w:t>MCO</w:t>
      </w:r>
      <w:r>
        <w:tab/>
        <w:t>Médecine, chirurgie, obstétri</w:t>
      </w:r>
      <w:r w:rsidR="000B4998">
        <w:t>qu</w:t>
      </w:r>
      <w:r>
        <w:t>e</w:t>
      </w:r>
    </w:p>
    <w:p w14:paraId="7AEB3162" w14:textId="77777777" w:rsidR="0012428C" w:rsidRDefault="0012428C" w:rsidP="008D6650">
      <w:pPr>
        <w:ind w:left="1134" w:hanging="1134"/>
        <w:jc w:val="both"/>
      </w:pPr>
      <w:r>
        <w:t>PMSI</w:t>
      </w:r>
      <w:r>
        <w:tab/>
        <w:t>Programme de médicalisation des systèmes d’informations</w:t>
      </w:r>
    </w:p>
    <w:p w14:paraId="2BD27C5B" w14:textId="77777777" w:rsidR="00E27325" w:rsidRDefault="00E27325" w:rsidP="008D6650">
      <w:pPr>
        <w:ind w:left="1134" w:hanging="1134"/>
        <w:jc w:val="both"/>
      </w:pPr>
      <w:r w:rsidRPr="007414A2">
        <w:t>RGPD</w:t>
      </w:r>
      <w:r>
        <w:tab/>
        <w:t>Règlement général sur la protection des données</w:t>
      </w:r>
    </w:p>
    <w:p w14:paraId="44F97D5C" w14:textId="77777777" w:rsidR="0012428C" w:rsidRDefault="0012428C" w:rsidP="008D6650">
      <w:pPr>
        <w:ind w:left="1134" w:hanging="1134"/>
        <w:jc w:val="both"/>
      </w:pPr>
      <w:r w:rsidRPr="0012428C">
        <w:t xml:space="preserve">RIM-P </w:t>
      </w:r>
      <w:r>
        <w:tab/>
      </w:r>
      <w:r w:rsidRPr="0012428C">
        <w:t>Recueil d'information en psychiatrie</w:t>
      </w:r>
    </w:p>
    <w:p w14:paraId="324B0525" w14:textId="77777777" w:rsidR="0012428C" w:rsidRDefault="0012428C" w:rsidP="008D6650">
      <w:pPr>
        <w:ind w:left="1134" w:hanging="1134"/>
        <w:jc w:val="both"/>
      </w:pPr>
      <w:r>
        <w:t>SNDS</w:t>
      </w:r>
      <w:r>
        <w:tab/>
        <w:t>Système national des données de santé</w:t>
      </w:r>
    </w:p>
    <w:p w14:paraId="0311244D" w14:textId="77777777" w:rsidR="0012428C" w:rsidRDefault="0012428C" w:rsidP="008D6650">
      <w:pPr>
        <w:ind w:left="1134" w:hanging="1134"/>
        <w:jc w:val="both"/>
      </w:pPr>
      <w:r w:rsidRPr="0012428C">
        <w:t>SSR</w:t>
      </w:r>
      <w:r>
        <w:tab/>
      </w:r>
      <w:r w:rsidRPr="0012428C">
        <w:t>Soins de suite et de réadaptation</w:t>
      </w:r>
    </w:p>
    <w:p w14:paraId="66381A1C" w14:textId="77777777" w:rsidR="00AB530C" w:rsidRDefault="00AB530C">
      <w:pPr>
        <w:spacing w:after="0" w:line="240" w:lineRule="auto"/>
        <w:rPr>
          <w:b/>
          <w:bCs/>
          <w:color w:val="0070C0"/>
          <w:sz w:val="32"/>
          <w:szCs w:val="32"/>
        </w:rPr>
      </w:pPr>
      <w:r>
        <w:rPr>
          <w:b/>
          <w:bCs/>
          <w:color w:val="0070C0"/>
          <w:sz w:val="32"/>
          <w:szCs w:val="32"/>
        </w:rPr>
        <w:br w:type="page"/>
      </w:r>
    </w:p>
    <w:p w14:paraId="07E1274C" w14:textId="1B494DBD" w:rsidR="00156462" w:rsidRPr="00B50B75" w:rsidRDefault="00156462" w:rsidP="008D6650">
      <w:pPr>
        <w:jc w:val="both"/>
        <w:rPr>
          <w:b/>
          <w:bCs/>
          <w:color w:val="0070C0"/>
          <w:sz w:val="32"/>
          <w:szCs w:val="32"/>
        </w:rPr>
      </w:pPr>
      <w:r w:rsidRPr="00B50B75">
        <w:rPr>
          <w:b/>
          <w:bCs/>
          <w:color w:val="0070C0"/>
          <w:sz w:val="32"/>
          <w:szCs w:val="32"/>
        </w:rPr>
        <w:t>Résumé du protocole</w:t>
      </w:r>
    </w:p>
    <w:p w14:paraId="63AD386B" w14:textId="1224C6D5" w:rsidR="006A5130" w:rsidRPr="00161BED" w:rsidRDefault="00F379A3" w:rsidP="008D6650">
      <w:pPr>
        <w:jc w:val="both"/>
        <w:rPr>
          <w:i/>
          <w:highlight w:val="yellow"/>
        </w:rPr>
      </w:pPr>
      <w:r w:rsidRPr="00161BED">
        <w:rPr>
          <w:i/>
          <w:highlight w:val="yellow"/>
        </w:rPr>
        <w:t xml:space="preserve">Rédaction conjointe </w:t>
      </w:r>
      <w:r w:rsidR="00903EBA">
        <w:rPr>
          <w:i/>
          <w:highlight w:val="yellow"/>
        </w:rPr>
        <w:t>Institut</w:t>
      </w:r>
      <w:r w:rsidRPr="00161BED">
        <w:rPr>
          <w:i/>
          <w:highlight w:val="yellow"/>
        </w:rPr>
        <w:t>/</w:t>
      </w:r>
      <w:r w:rsidR="004823EC" w:rsidRPr="00161BED">
        <w:rPr>
          <w:i/>
          <w:highlight w:val="yellow"/>
        </w:rPr>
        <w:t>Partenaire</w:t>
      </w:r>
      <w:r w:rsidRPr="00161BED">
        <w:rPr>
          <w:i/>
          <w:highlight w:val="yellow"/>
        </w:rPr>
        <w:t xml:space="preserve"> une fois le protocole finalisé</w:t>
      </w:r>
    </w:p>
    <w:p w14:paraId="075A485A" w14:textId="77777777" w:rsidR="00F379A3" w:rsidRDefault="00F379A3" w:rsidP="008D6650">
      <w:pPr>
        <w:jc w:val="both"/>
        <w:rPr>
          <w:highlight w:val="green"/>
        </w:rPr>
      </w:pPr>
    </w:p>
    <w:p w14:paraId="2D965241" w14:textId="77777777" w:rsidR="008D6181" w:rsidRPr="008D6181" w:rsidRDefault="008D6181" w:rsidP="008D6650">
      <w:pPr>
        <w:jc w:val="both"/>
        <w:rPr>
          <w:b/>
          <w:bCs/>
        </w:rPr>
      </w:pPr>
      <w:r w:rsidRPr="008D6181">
        <w:rPr>
          <w:b/>
          <w:bCs/>
        </w:rPr>
        <w:t>Titre de l’étude</w:t>
      </w:r>
      <w:r w:rsidRPr="008D6181">
        <w:rPr>
          <w:rFonts w:ascii="Cambria" w:hAnsi="Cambria" w:cs="Cambria"/>
          <w:b/>
          <w:bCs/>
        </w:rPr>
        <w:t> </w:t>
      </w:r>
      <w:r w:rsidRPr="008D6181">
        <w:rPr>
          <w:b/>
          <w:bCs/>
        </w:rPr>
        <w:t>:</w:t>
      </w:r>
    </w:p>
    <w:p w14:paraId="7ADE4BDF" w14:textId="77777777" w:rsidR="008D6181" w:rsidRPr="008D6181" w:rsidRDefault="008D6181" w:rsidP="008D6650">
      <w:pPr>
        <w:jc w:val="both"/>
        <w:rPr>
          <w:b/>
          <w:bCs/>
        </w:rPr>
      </w:pPr>
      <w:r w:rsidRPr="008D6181">
        <w:rPr>
          <w:b/>
          <w:bCs/>
        </w:rPr>
        <w:t>Équipe projet</w:t>
      </w:r>
      <w:r w:rsidRPr="008D6181">
        <w:rPr>
          <w:rFonts w:ascii="Cambria" w:hAnsi="Cambria" w:cs="Cambria"/>
          <w:b/>
          <w:bCs/>
        </w:rPr>
        <w:t> </w:t>
      </w:r>
      <w:r w:rsidRPr="008D6181">
        <w:rPr>
          <w:b/>
          <w:bCs/>
        </w:rPr>
        <w:t>:</w:t>
      </w:r>
    </w:p>
    <w:p w14:paraId="3D11960F" w14:textId="77777777" w:rsidR="008D6181" w:rsidRDefault="008D6181" w:rsidP="008D6650">
      <w:pPr>
        <w:jc w:val="both"/>
        <w:rPr>
          <w:b/>
          <w:bCs/>
        </w:rPr>
      </w:pPr>
    </w:p>
    <w:p w14:paraId="66B69497" w14:textId="77777777" w:rsidR="000A6B98" w:rsidRPr="008D6181" w:rsidRDefault="00017090" w:rsidP="008D6650">
      <w:pPr>
        <w:jc w:val="both"/>
        <w:rPr>
          <w:b/>
          <w:bCs/>
        </w:rPr>
      </w:pPr>
      <w:r w:rsidRPr="008D6181">
        <w:rPr>
          <w:b/>
          <w:bCs/>
        </w:rPr>
        <w:t>Contexte – justification de l’étude</w:t>
      </w:r>
      <w:r w:rsidR="000A6B98" w:rsidRPr="008D6181">
        <w:rPr>
          <w:b/>
          <w:bCs/>
        </w:rPr>
        <w:t xml:space="preserve"> :</w:t>
      </w:r>
    </w:p>
    <w:p w14:paraId="056F4837" w14:textId="77777777" w:rsidR="00017090" w:rsidRPr="008D6181" w:rsidRDefault="00017090" w:rsidP="008D6650">
      <w:pPr>
        <w:jc w:val="both"/>
        <w:rPr>
          <w:b/>
          <w:bCs/>
        </w:rPr>
      </w:pPr>
      <w:r w:rsidRPr="008D6181">
        <w:rPr>
          <w:b/>
          <w:bCs/>
        </w:rPr>
        <w:t>Objectif principal :</w:t>
      </w:r>
    </w:p>
    <w:p w14:paraId="193213EA" w14:textId="77777777" w:rsidR="00017090" w:rsidRPr="008D6181" w:rsidRDefault="00017090" w:rsidP="008D6650">
      <w:pPr>
        <w:jc w:val="both"/>
        <w:rPr>
          <w:b/>
          <w:bCs/>
        </w:rPr>
      </w:pPr>
      <w:r w:rsidRPr="008D6181">
        <w:rPr>
          <w:b/>
          <w:bCs/>
        </w:rPr>
        <w:t>Objectif secondaire :</w:t>
      </w:r>
    </w:p>
    <w:p w14:paraId="3132B8BF" w14:textId="77777777" w:rsidR="00017090" w:rsidRPr="006F5A5C" w:rsidRDefault="00017090" w:rsidP="008D6650">
      <w:pPr>
        <w:jc w:val="both"/>
      </w:pPr>
      <w:r w:rsidRPr="002D149D">
        <w:rPr>
          <w:b/>
          <w:bCs/>
        </w:rPr>
        <w:t>Ethique</w:t>
      </w:r>
      <w:r w:rsidRPr="002D149D">
        <w:rPr>
          <w:rFonts w:ascii="Cambria" w:hAnsi="Cambria" w:cs="Cambria"/>
          <w:b/>
          <w:bCs/>
        </w:rPr>
        <w:t> </w:t>
      </w:r>
      <w:r w:rsidRPr="002D149D">
        <w:rPr>
          <w:b/>
          <w:bCs/>
        </w:rPr>
        <w:t>:</w:t>
      </w:r>
      <w:r w:rsidR="006F5A5C">
        <w:t xml:space="preserve"> L’étude est une étude observationnelle</w:t>
      </w:r>
      <w:r w:rsidR="008A6D7B">
        <w:t>, à partir de bases de données constituées par ailleurs, sans intervention sur la personne. L’étude sera conduite conformément aux dispositions règlementaires, en respectant les conditions d’accès aux données issues du SNDS. Les résultats seront publiés et mis à dispositions selon les règles définies par le HDH.</w:t>
      </w:r>
    </w:p>
    <w:p w14:paraId="01E64ED5" w14:textId="27ECA608" w:rsidR="00017090" w:rsidRPr="00822B33" w:rsidRDefault="00017090" w:rsidP="008D6650">
      <w:pPr>
        <w:jc w:val="both"/>
        <w:rPr>
          <w:rFonts w:cs="Calibri"/>
        </w:rPr>
      </w:pPr>
      <w:r w:rsidRPr="00822B33">
        <w:rPr>
          <w:rFonts w:cs="Calibri"/>
          <w:b/>
          <w:bCs/>
        </w:rPr>
        <w:t>Intérêt général</w:t>
      </w:r>
      <w:r w:rsidRPr="00017090">
        <w:rPr>
          <w:rFonts w:ascii="Cambria" w:hAnsi="Cambria" w:cs="Cambria"/>
        </w:rPr>
        <w:t> </w:t>
      </w:r>
      <w:r w:rsidRPr="00822B33">
        <w:rPr>
          <w:rFonts w:cs="Calibri"/>
        </w:rPr>
        <w:t xml:space="preserve">: </w:t>
      </w:r>
      <w:r w:rsidRPr="00822B33">
        <w:rPr>
          <w:rFonts w:cs="Calibri"/>
          <w:shd w:val="clear" w:color="auto" w:fill="FFFF00"/>
        </w:rPr>
        <w:t>Fréquence de la pathologie</w:t>
      </w:r>
      <w:r w:rsidRPr="00017090">
        <w:rPr>
          <w:rFonts w:ascii="Cambria" w:hAnsi="Cambria" w:cs="Cambria"/>
          <w:shd w:val="clear" w:color="auto" w:fill="FFFF00"/>
        </w:rPr>
        <w:t> </w:t>
      </w:r>
      <w:r w:rsidRPr="00822B33">
        <w:rPr>
          <w:rFonts w:cs="Calibri"/>
          <w:shd w:val="clear" w:color="auto" w:fill="FFFF00"/>
        </w:rPr>
        <w:t>; Sévérité de la pathologie</w:t>
      </w:r>
      <w:r w:rsidRPr="00017090">
        <w:rPr>
          <w:rFonts w:ascii="Cambria" w:hAnsi="Cambria" w:cs="Cambria"/>
          <w:shd w:val="clear" w:color="auto" w:fill="FFFF00"/>
        </w:rPr>
        <w:t> </w:t>
      </w:r>
      <w:r w:rsidRPr="00822B33">
        <w:rPr>
          <w:rFonts w:cs="Calibri"/>
          <w:shd w:val="clear" w:color="auto" w:fill="FFFF00"/>
        </w:rPr>
        <w:t>; Lien avec la Stratégie décennale de lutte contre les cancers</w:t>
      </w:r>
      <w:r w:rsidRPr="00017090">
        <w:rPr>
          <w:rFonts w:ascii="Cambria" w:hAnsi="Cambria" w:cs="Cambria"/>
          <w:shd w:val="clear" w:color="auto" w:fill="FFFF00"/>
        </w:rPr>
        <w:t> </w:t>
      </w:r>
      <w:r w:rsidRPr="00822B33">
        <w:rPr>
          <w:rFonts w:cs="Calibri"/>
          <w:shd w:val="clear" w:color="auto" w:fill="FFFF00"/>
        </w:rPr>
        <w:t>; Lien avec les missions de l’</w:t>
      </w:r>
      <w:r w:rsidR="00903EBA">
        <w:rPr>
          <w:rFonts w:cs="Calibri"/>
          <w:shd w:val="clear" w:color="auto" w:fill="FFFF00"/>
        </w:rPr>
        <w:t>Institut</w:t>
      </w:r>
      <w:r w:rsidRPr="00822B33">
        <w:rPr>
          <w:rFonts w:cs="Calibri"/>
          <w:shd w:val="clear" w:color="auto" w:fill="FFFF00"/>
        </w:rPr>
        <w:t xml:space="preserve"> …</w:t>
      </w:r>
    </w:p>
    <w:p w14:paraId="7B6AF3E1" w14:textId="77777777" w:rsidR="008D6181" w:rsidRPr="00017090" w:rsidRDefault="008D6181" w:rsidP="008D6650">
      <w:pPr>
        <w:jc w:val="both"/>
      </w:pPr>
      <w:r w:rsidRPr="00017090">
        <w:rPr>
          <w:b/>
          <w:bCs/>
        </w:rPr>
        <w:t>Publication et valorisation des résultats</w:t>
      </w:r>
      <w:r w:rsidRPr="00017090">
        <w:rPr>
          <w:rFonts w:ascii="Cambria" w:hAnsi="Cambria" w:cs="Cambria"/>
        </w:rPr>
        <w:t> </w:t>
      </w:r>
      <w:r w:rsidRPr="00017090">
        <w:rPr>
          <w:b/>
          <w:bCs/>
        </w:rPr>
        <w:t>:</w:t>
      </w:r>
      <w:r w:rsidRPr="00017090">
        <w:t xml:space="preserve"> Les résultats de l’étude feront l’objet de publications scientifiques dans des revues à comité de lecture. Un rapport d’analyse sera également produit et transmis au </w:t>
      </w:r>
      <w:proofErr w:type="spellStart"/>
      <w:r w:rsidRPr="00017090">
        <w:t>Health</w:t>
      </w:r>
      <w:proofErr w:type="spellEnd"/>
      <w:r w:rsidRPr="00017090">
        <w:t xml:space="preserve"> data hub comme pour toutes exploitation portant sur des données issues du SNDS.</w:t>
      </w:r>
    </w:p>
    <w:p w14:paraId="10663240" w14:textId="77777777" w:rsidR="00017090" w:rsidRPr="008D6181" w:rsidRDefault="00017090" w:rsidP="008D6650">
      <w:pPr>
        <w:jc w:val="both"/>
        <w:rPr>
          <w:b/>
          <w:bCs/>
        </w:rPr>
      </w:pPr>
      <w:r w:rsidRPr="008D6181">
        <w:rPr>
          <w:b/>
          <w:bCs/>
        </w:rPr>
        <w:t>Origine / Source des données</w:t>
      </w:r>
      <w:r w:rsidRPr="008D6181">
        <w:rPr>
          <w:rFonts w:ascii="Cambria" w:hAnsi="Cambria" w:cs="Cambria"/>
          <w:b/>
          <w:bCs/>
        </w:rPr>
        <w:t> </w:t>
      </w:r>
      <w:r w:rsidRPr="008D6181">
        <w:rPr>
          <w:b/>
          <w:bCs/>
        </w:rPr>
        <w:t>:</w:t>
      </w:r>
    </w:p>
    <w:p w14:paraId="3BA2818A" w14:textId="77777777" w:rsidR="008D6181" w:rsidRPr="00017090" w:rsidRDefault="008D6181" w:rsidP="008D6650">
      <w:pPr>
        <w:jc w:val="both"/>
      </w:pPr>
      <w:r w:rsidRPr="008D6181">
        <w:rPr>
          <w:b/>
          <w:bCs/>
        </w:rPr>
        <w:t>Nombre de sujets nécessaires/taille de la population :</w:t>
      </w:r>
      <w:r w:rsidRPr="00017090">
        <w:rPr>
          <w:shd w:val="clear" w:color="auto" w:fill="FFFF00"/>
        </w:rPr>
        <w:t xml:space="preserve"> Soit sur base de données – exhaustif</w:t>
      </w:r>
      <w:r w:rsidRPr="00017090">
        <w:rPr>
          <w:rFonts w:ascii="Cambria" w:hAnsi="Cambria" w:cs="Cambria"/>
          <w:shd w:val="clear" w:color="auto" w:fill="FFFF00"/>
        </w:rPr>
        <w:t> </w:t>
      </w:r>
      <w:r w:rsidRPr="00017090">
        <w:rPr>
          <w:shd w:val="clear" w:color="auto" w:fill="FFFF00"/>
        </w:rPr>
        <w:t>; soit sur calcul</w:t>
      </w:r>
    </w:p>
    <w:p w14:paraId="64505F20" w14:textId="77777777" w:rsidR="008D6181" w:rsidRPr="00017090" w:rsidRDefault="008D6181" w:rsidP="008D6650">
      <w:pPr>
        <w:jc w:val="both"/>
      </w:pPr>
      <w:r w:rsidRPr="008D6181">
        <w:rPr>
          <w:b/>
          <w:bCs/>
        </w:rPr>
        <w:t>Nombre de centres participants :</w:t>
      </w:r>
      <w:r w:rsidRPr="00017090">
        <w:t xml:space="preserve"> </w:t>
      </w:r>
      <w:r w:rsidRPr="00017090">
        <w:rPr>
          <w:shd w:val="clear" w:color="auto" w:fill="FFFF00"/>
        </w:rPr>
        <w:t xml:space="preserve">Si étude nécessitant un recueil de données </w:t>
      </w:r>
      <w:proofErr w:type="spellStart"/>
      <w:r w:rsidRPr="00017090">
        <w:rPr>
          <w:shd w:val="clear" w:color="auto" w:fill="FFFF00"/>
        </w:rPr>
        <w:t>ad’hoc</w:t>
      </w:r>
      <w:proofErr w:type="spellEnd"/>
    </w:p>
    <w:p w14:paraId="7A5E4037" w14:textId="77777777" w:rsidR="008D6181" w:rsidRPr="00017090" w:rsidRDefault="008D6181" w:rsidP="008D6650">
      <w:pPr>
        <w:jc w:val="both"/>
      </w:pPr>
      <w:r w:rsidRPr="008D6181">
        <w:rPr>
          <w:b/>
          <w:bCs/>
        </w:rPr>
        <w:t>Nombre moyen d’inclusions par centre :</w:t>
      </w:r>
      <w:r w:rsidRPr="00017090">
        <w:rPr>
          <w:shd w:val="clear" w:color="auto" w:fill="FFFF00"/>
        </w:rPr>
        <w:t xml:space="preserve"> Si étude nécessitant un recueil de données </w:t>
      </w:r>
      <w:proofErr w:type="spellStart"/>
      <w:r w:rsidRPr="00017090">
        <w:rPr>
          <w:shd w:val="clear" w:color="auto" w:fill="FFFF00"/>
        </w:rPr>
        <w:t>ad’hoc</w:t>
      </w:r>
      <w:proofErr w:type="spellEnd"/>
    </w:p>
    <w:p w14:paraId="0CD265E9" w14:textId="77777777" w:rsidR="00017090" w:rsidRPr="008D6181" w:rsidRDefault="00017090" w:rsidP="008D6650">
      <w:pPr>
        <w:jc w:val="both"/>
        <w:rPr>
          <w:b/>
          <w:bCs/>
        </w:rPr>
      </w:pPr>
      <w:r w:rsidRPr="008D6181">
        <w:rPr>
          <w:b/>
          <w:bCs/>
        </w:rPr>
        <w:t xml:space="preserve">Critères d’inclusion / non-inclusion / exclusion (cohorte étudiée) : </w:t>
      </w:r>
    </w:p>
    <w:p w14:paraId="7E9C4CB8" w14:textId="77777777" w:rsidR="000A6B98" w:rsidRPr="008D6181" w:rsidRDefault="008913E3" w:rsidP="008D6650">
      <w:pPr>
        <w:jc w:val="both"/>
        <w:rPr>
          <w:b/>
          <w:bCs/>
        </w:rPr>
      </w:pPr>
      <w:r w:rsidRPr="008D6181">
        <w:rPr>
          <w:b/>
          <w:bCs/>
        </w:rPr>
        <w:t>Critère de jugement</w:t>
      </w:r>
      <w:r w:rsidR="000A6B98" w:rsidRPr="008D6181">
        <w:rPr>
          <w:b/>
          <w:bCs/>
        </w:rPr>
        <w:t xml:space="preserve"> principal </w:t>
      </w:r>
      <w:r w:rsidR="00017090" w:rsidRPr="008D6181">
        <w:rPr>
          <w:b/>
          <w:bCs/>
        </w:rPr>
        <w:t xml:space="preserve">/ secondaire </w:t>
      </w:r>
      <w:r w:rsidR="000A6B98" w:rsidRPr="008D6181">
        <w:rPr>
          <w:b/>
          <w:bCs/>
        </w:rPr>
        <w:t>:</w:t>
      </w:r>
    </w:p>
    <w:p w14:paraId="4D382E12" w14:textId="77777777" w:rsidR="000A6B98" w:rsidRPr="008D6181" w:rsidRDefault="00017090" w:rsidP="008D6650">
      <w:pPr>
        <w:jc w:val="both"/>
        <w:rPr>
          <w:b/>
          <w:bCs/>
        </w:rPr>
      </w:pPr>
      <w:r w:rsidRPr="008D6181">
        <w:rPr>
          <w:b/>
          <w:bCs/>
        </w:rPr>
        <w:t xml:space="preserve">Type d’étude et </w:t>
      </w:r>
      <w:r w:rsidR="008913E3" w:rsidRPr="008D6181">
        <w:rPr>
          <w:b/>
          <w:bCs/>
        </w:rPr>
        <w:t>Méthodologie</w:t>
      </w:r>
      <w:r w:rsidRPr="008D6181">
        <w:rPr>
          <w:b/>
          <w:bCs/>
        </w:rPr>
        <w:t xml:space="preserve"> </w:t>
      </w:r>
      <w:r w:rsidR="000A6B98" w:rsidRPr="008D6181">
        <w:rPr>
          <w:b/>
          <w:bCs/>
        </w:rPr>
        <w:t xml:space="preserve">: </w:t>
      </w:r>
    </w:p>
    <w:p w14:paraId="0DDCA692" w14:textId="77777777" w:rsidR="00DA4183" w:rsidRDefault="00DA4183" w:rsidP="008D6650">
      <w:pPr>
        <w:jc w:val="both"/>
        <w:rPr>
          <w:b/>
          <w:bCs/>
        </w:rPr>
      </w:pPr>
    </w:p>
    <w:p w14:paraId="2E13B876" w14:textId="77777777" w:rsidR="000A6B98" w:rsidRPr="008D6181" w:rsidRDefault="008D6181" w:rsidP="008D6650">
      <w:pPr>
        <w:jc w:val="both"/>
        <w:rPr>
          <w:b/>
          <w:bCs/>
        </w:rPr>
      </w:pPr>
      <w:r>
        <w:rPr>
          <w:b/>
          <w:bCs/>
        </w:rPr>
        <w:t>Calendrier de l</w:t>
      </w:r>
      <w:r w:rsidR="000A6B98" w:rsidRPr="008D6181">
        <w:rPr>
          <w:b/>
          <w:bCs/>
        </w:rPr>
        <w:t>’étude</w:t>
      </w:r>
      <w:r>
        <w:rPr>
          <w:b/>
          <w:bCs/>
        </w:rPr>
        <w:t xml:space="preserve"> (en Mois – sans date)</w:t>
      </w:r>
      <w:r w:rsidR="000A6B98" w:rsidRPr="008D6181">
        <w:rPr>
          <w:b/>
          <w:bCs/>
        </w:rPr>
        <w:t xml:space="preserve"> : </w:t>
      </w:r>
    </w:p>
    <w:p w14:paraId="45984821" w14:textId="77777777" w:rsidR="000A6B98" w:rsidRPr="008D6181" w:rsidRDefault="000A6B98" w:rsidP="008D6650">
      <w:pPr>
        <w:jc w:val="both"/>
        <w:rPr>
          <w:b/>
          <w:bCs/>
        </w:rPr>
      </w:pPr>
      <w:r w:rsidRPr="008D6181">
        <w:rPr>
          <w:b/>
          <w:bCs/>
        </w:rPr>
        <w:t xml:space="preserve">Période d’inclusion : </w:t>
      </w:r>
    </w:p>
    <w:p w14:paraId="7E13FBD7" w14:textId="77777777" w:rsidR="008D6181" w:rsidRDefault="008D6181" w:rsidP="008D6650">
      <w:pPr>
        <w:jc w:val="both"/>
        <w:rPr>
          <w:b/>
          <w:bCs/>
        </w:rPr>
      </w:pPr>
    </w:p>
    <w:p w14:paraId="5FB16FD9" w14:textId="77777777" w:rsidR="00F0321C" w:rsidRPr="00017090" w:rsidRDefault="00F0321C" w:rsidP="008D6650">
      <w:pPr>
        <w:jc w:val="both"/>
      </w:pPr>
      <w:r w:rsidRPr="008D6181">
        <w:rPr>
          <w:b/>
          <w:bCs/>
        </w:rPr>
        <w:t>Information individuelle des patients</w:t>
      </w:r>
      <w:r w:rsidRPr="008D6181">
        <w:rPr>
          <w:rFonts w:ascii="Cambria" w:hAnsi="Cambria" w:cs="Cambria"/>
          <w:b/>
          <w:bCs/>
        </w:rPr>
        <w:t> </w:t>
      </w:r>
      <w:r w:rsidRPr="008D6181">
        <w:rPr>
          <w:b/>
          <w:bCs/>
        </w:rPr>
        <w:t>:</w:t>
      </w:r>
      <w:r w:rsidRPr="00017090">
        <w:t xml:space="preserve"> </w:t>
      </w:r>
      <w:r w:rsidRPr="00017090">
        <w:rPr>
          <w:shd w:val="clear" w:color="auto" w:fill="FFFF00"/>
        </w:rPr>
        <w:t>oui/non</w:t>
      </w:r>
      <w:r w:rsidR="00411584" w:rsidRPr="00017090">
        <w:rPr>
          <w:rFonts w:ascii="Cambria" w:hAnsi="Cambria" w:cs="Cambria"/>
          <w:shd w:val="clear" w:color="auto" w:fill="FFFF00"/>
        </w:rPr>
        <w:t> </w:t>
      </w:r>
      <w:r w:rsidR="00411584" w:rsidRPr="00017090">
        <w:rPr>
          <w:shd w:val="clear" w:color="auto" w:fill="FFFF00"/>
        </w:rPr>
        <w:t>; préciser les choix</w:t>
      </w:r>
      <w:r w:rsidR="008D6181">
        <w:rPr>
          <w:shd w:val="clear" w:color="auto" w:fill="FFFF00"/>
        </w:rPr>
        <w:t xml:space="preserve"> et justifier la demande de dérogation</w:t>
      </w:r>
    </w:p>
    <w:p w14:paraId="351CC4B4" w14:textId="77777777" w:rsidR="00A332DD" w:rsidRDefault="00A332DD" w:rsidP="008D6650">
      <w:pPr>
        <w:jc w:val="both"/>
        <w:rPr>
          <w:rFonts w:eastAsia="MS Mincho" w:cs="Arial"/>
          <w:bCs/>
          <w:caps/>
          <w:spacing w:val="20"/>
          <w:sz w:val="44"/>
          <w:szCs w:val="40"/>
        </w:rPr>
      </w:pPr>
      <w:bookmarkStart w:id="18" w:name="_Toc500428772"/>
      <w:r>
        <w:br w:type="page"/>
      </w:r>
    </w:p>
    <w:p w14:paraId="2BB3044F" w14:textId="77777777" w:rsidR="00B54C8C" w:rsidRDefault="00B54C8C" w:rsidP="008D6650">
      <w:pPr>
        <w:pStyle w:val="Titre1"/>
        <w:jc w:val="both"/>
      </w:pPr>
      <w:bookmarkStart w:id="19" w:name="_Toc161759368"/>
      <w:r>
        <w:t>équipe projet</w:t>
      </w:r>
      <w:bookmarkEnd w:id="19"/>
    </w:p>
    <w:p w14:paraId="0DB91927" w14:textId="77777777" w:rsidR="00EF3D95" w:rsidRDefault="00EF3D95" w:rsidP="008D6650">
      <w:pPr>
        <w:jc w:val="both"/>
      </w:pPr>
    </w:p>
    <w:tbl>
      <w:tblPr>
        <w:tblStyle w:val="Tableausimple21"/>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50"/>
        <w:gridCol w:w="3404"/>
        <w:gridCol w:w="3935"/>
      </w:tblGrid>
      <w:tr w:rsidR="00EF3D95" w:rsidRPr="00C449C2" w14:paraId="28EEC947" w14:textId="77777777" w:rsidTr="00EF3D95">
        <w:trPr>
          <w:cnfStyle w:val="100000000000" w:firstRow="1" w:lastRow="0" w:firstColumn="0" w:lastColumn="0" w:oddVBand="0" w:evenVBand="0" w:oddHBand="0" w:evenHBand="0" w:firstRowFirstColumn="0" w:firstRowLastColumn="0" w:lastRowFirstColumn="0" w:lastRowLastColumn="0"/>
          <w:cantSplit/>
          <w:trHeight w:val="137"/>
          <w:jc w:val="center"/>
        </w:trPr>
        <w:tc>
          <w:tcPr>
            <w:tcW w:w="2050" w:type="dxa"/>
            <w:tcBorders>
              <w:bottom w:val="none" w:sz="0" w:space="0" w:color="auto"/>
            </w:tcBorders>
            <w:shd w:val="clear" w:color="auto" w:fill="BFBFBF" w:themeFill="background1" w:themeFillShade="BF"/>
          </w:tcPr>
          <w:p w14:paraId="1106A777" w14:textId="77777777" w:rsidR="00EF3D95" w:rsidRPr="00C449C2" w:rsidRDefault="00EF3D95" w:rsidP="008D6650">
            <w:pPr>
              <w:keepNext/>
              <w:ind w:left="25"/>
              <w:jc w:val="both"/>
              <w:rPr>
                <w:bCs w:val="0"/>
                <w:szCs w:val="20"/>
              </w:rPr>
            </w:pPr>
            <w:r>
              <w:rPr>
                <w:bCs w:val="0"/>
                <w:szCs w:val="20"/>
              </w:rPr>
              <w:t>Equipe</w:t>
            </w:r>
          </w:p>
        </w:tc>
        <w:tc>
          <w:tcPr>
            <w:tcW w:w="3404" w:type="dxa"/>
            <w:tcBorders>
              <w:bottom w:val="none" w:sz="0" w:space="0" w:color="auto"/>
            </w:tcBorders>
            <w:shd w:val="clear" w:color="auto" w:fill="BFBFBF" w:themeFill="background1" w:themeFillShade="BF"/>
            <w:hideMark/>
          </w:tcPr>
          <w:p w14:paraId="47533FD8" w14:textId="77777777" w:rsidR="00EF3D95" w:rsidRPr="00C449C2" w:rsidRDefault="00EF3D95" w:rsidP="008D6650">
            <w:pPr>
              <w:keepNext/>
              <w:ind w:left="67"/>
              <w:jc w:val="both"/>
              <w:rPr>
                <w:bCs w:val="0"/>
                <w:szCs w:val="20"/>
              </w:rPr>
            </w:pPr>
            <w:r>
              <w:rPr>
                <w:bCs w:val="0"/>
                <w:szCs w:val="20"/>
              </w:rPr>
              <w:t>Service</w:t>
            </w:r>
          </w:p>
        </w:tc>
        <w:tc>
          <w:tcPr>
            <w:tcW w:w="3935" w:type="dxa"/>
            <w:tcBorders>
              <w:bottom w:val="none" w:sz="0" w:space="0" w:color="auto"/>
            </w:tcBorders>
            <w:shd w:val="clear" w:color="auto" w:fill="BFBFBF" w:themeFill="background1" w:themeFillShade="BF"/>
            <w:hideMark/>
          </w:tcPr>
          <w:p w14:paraId="5FC52379" w14:textId="77777777" w:rsidR="00EF3D95" w:rsidRPr="00C449C2" w:rsidRDefault="00EF3D95" w:rsidP="008D6650">
            <w:pPr>
              <w:keepNext/>
              <w:ind w:left="69"/>
              <w:jc w:val="both"/>
              <w:rPr>
                <w:bCs w:val="0"/>
                <w:szCs w:val="20"/>
              </w:rPr>
            </w:pPr>
            <w:r w:rsidRPr="00C449C2">
              <w:rPr>
                <w:bCs w:val="0"/>
                <w:szCs w:val="20"/>
              </w:rPr>
              <w:t>Rôle dans le projet</w:t>
            </w:r>
          </w:p>
        </w:tc>
      </w:tr>
      <w:tr w:rsidR="00EF3D95" w:rsidRPr="00C449C2" w14:paraId="39239DD1" w14:textId="77777777" w:rsidTr="00EF3D95">
        <w:trPr>
          <w:cnfStyle w:val="000000100000" w:firstRow="0" w:lastRow="0" w:firstColumn="0" w:lastColumn="0" w:oddVBand="0" w:evenVBand="0" w:oddHBand="1" w:evenHBand="0" w:firstRowFirstColumn="0" w:firstRowLastColumn="0" w:lastRowFirstColumn="0" w:lastRowLastColumn="0"/>
          <w:cantSplit/>
          <w:trHeight w:val="16"/>
          <w:jc w:val="center"/>
        </w:trPr>
        <w:tc>
          <w:tcPr>
            <w:tcW w:w="2050" w:type="dxa"/>
            <w:tcBorders>
              <w:top w:val="none" w:sz="0" w:space="0" w:color="auto"/>
              <w:bottom w:val="none" w:sz="0" w:space="0" w:color="auto"/>
            </w:tcBorders>
          </w:tcPr>
          <w:p w14:paraId="6BAC66FB" w14:textId="77777777" w:rsidR="00EF3D95" w:rsidRPr="00C449C2" w:rsidRDefault="00EF3D95" w:rsidP="008D6650">
            <w:pPr>
              <w:keepNext/>
              <w:ind w:left="25"/>
              <w:jc w:val="both"/>
              <w:rPr>
                <w:szCs w:val="20"/>
              </w:rPr>
            </w:pPr>
          </w:p>
        </w:tc>
        <w:tc>
          <w:tcPr>
            <w:tcW w:w="3404" w:type="dxa"/>
            <w:tcBorders>
              <w:top w:val="none" w:sz="0" w:space="0" w:color="auto"/>
              <w:bottom w:val="none" w:sz="0" w:space="0" w:color="auto"/>
            </w:tcBorders>
            <w:shd w:val="clear" w:color="auto" w:fill="auto"/>
          </w:tcPr>
          <w:p w14:paraId="4FF7A23E" w14:textId="77777777" w:rsidR="00EF3D95" w:rsidRPr="00C449C2" w:rsidRDefault="00EF3D95" w:rsidP="008D6650">
            <w:pPr>
              <w:keepNext/>
              <w:ind w:left="67"/>
              <w:jc w:val="both"/>
              <w:rPr>
                <w:szCs w:val="20"/>
              </w:rPr>
            </w:pPr>
          </w:p>
        </w:tc>
        <w:tc>
          <w:tcPr>
            <w:tcW w:w="3935" w:type="dxa"/>
            <w:tcBorders>
              <w:top w:val="none" w:sz="0" w:space="0" w:color="auto"/>
              <w:bottom w:val="none" w:sz="0" w:space="0" w:color="auto"/>
            </w:tcBorders>
          </w:tcPr>
          <w:p w14:paraId="6A18167D" w14:textId="77777777" w:rsidR="00EF3D95" w:rsidRPr="00C449C2" w:rsidRDefault="00EF3D95" w:rsidP="008D6650">
            <w:pPr>
              <w:keepNext/>
              <w:ind w:left="69"/>
              <w:jc w:val="both"/>
              <w:rPr>
                <w:szCs w:val="20"/>
              </w:rPr>
            </w:pPr>
          </w:p>
        </w:tc>
      </w:tr>
      <w:tr w:rsidR="00EF3D95" w:rsidRPr="00C449C2" w14:paraId="4534E4FA" w14:textId="77777777" w:rsidTr="00EF3D95">
        <w:trPr>
          <w:cantSplit/>
          <w:trHeight w:val="16"/>
          <w:jc w:val="center"/>
        </w:trPr>
        <w:tc>
          <w:tcPr>
            <w:tcW w:w="2050" w:type="dxa"/>
          </w:tcPr>
          <w:p w14:paraId="266A1DB0" w14:textId="77777777" w:rsidR="00EF3D95" w:rsidRPr="00C449C2" w:rsidRDefault="00EF3D95" w:rsidP="008D6650">
            <w:pPr>
              <w:keepNext/>
              <w:ind w:left="25"/>
              <w:jc w:val="both"/>
              <w:rPr>
                <w:szCs w:val="20"/>
              </w:rPr>
            </w:pPr>
          </w:p>
        </w:tc>
        <w:tc>
          <w:tcPr>
            <w:tcW w:w="3404" w:type="dxa"/>
          </w:tcPr>
          <w:p w14:paraId="5001BCB5" w14:textId="77777777" w:rsidR="00EF3D95" w:rsidRPr="00C449C2" w:rsidRDefault="00EF3D95" w:rsidP="008D6650">
            <w:pPr>
              <w:keepNext/>
              <w:ind w:left="67"/>
              <w:jc w:val="both"/>
              <w:rPr>
                <w:szCs w:val="20"/>
              </w:rPr>
            </w:pPr>
          </w:p>
        </w:tc>
        <w:tc>
          <w:tcPr>
            <w:tcW w:w="3935" w:type="dxa"/>
          </w:tcPr>
          <w:p w14:paraId="6DB14870" w14:textId="77777777" w:rsidR="00EF3D95" w:rsidRPr="00C449C2" w:rsidRDefault="00EF3D95" w:rsidP="008D6650">
            <w:pPr>
              <w:keepNext/>
              <w:ind w:left="69"/>
              <w:jc w:val="both"/>
              <w:rPr>
                <w:szCs w:val="20"/>
              </w:rPr>
            </w:pPr>
          </w:p>
        </w:tc>
      </w:tr>
      <w:tr w:rsidR="00EF3D95" w:rsidRPr="00C449C2" w14:paraId="3E12F13E" w14:textId="77777777" w:rsidTr="00EF3D95">
        <w:trPr>
          <w:cnfStyle w:val="000000100000" w:firstRow="0" w:lastRow="0" w:firstColumn="0" w:lastColumn="0" w:oddVBand="0" w:evenVBand="0" w:oddHBand="1" w:evenHBand="0" w:firstRowFirstColumn="0" w:firstRowLastColumn="0" w:lastRowFirstColumn="0" w:lastRowLastColumn="0"/>
          <w:cantSplit/>
          <w:trHeight w:val="16"/>
          <w:jc w:val="center"/>
        </w:trPr>
        <w:tc>
          <w:tcPr>
            <w:tcW w:w="2050" w:type="dxa"/>
            <w:tcBorders>
              <w:top w:val="none" w:sz="0" w:space="0" w:color="auto"/>
              <w:bottom w:val="none" w:sz="0" w:space="0" w:color="auto"/>
            </w:tcBorders>
          </w:tcPr>
          <w:p w14:paraId="19412111" w14:textId="77777777" w:rsidR="00EF3D95" w:rsidRPr="00C449C2" w:rsidRDefault="00EF3D95" w:rsidP="008D6650">
            <w:pPr>
              <w:keepNext/>
              <w:ind w:left="25"/>
              <w:jc w:val="both"/>
              <w:rPr>
                <w:szCs w:val="20"/>
              </w:rPr>
            </w:pPr>
          </w:p>
        </w:tc>
        <w:tc>
          <w:tcPr>
            <w:tcW w:w="3404" w:type="dxa"/>
            <w:tcBorders>
              <w:top w:val="none" w:sz="0" w:space="0" w:color="auto"/>
              <w:bottom w:val="none" w:sz="0" w:space="0" w:color="auto"/>
            </w:tcBorders>
          </w:tcPr>
          <w:p w14:paraId="729E3F45" w14:textId="77777777" w:rsidR="00EF3D95" w:rsidRPr="00C449C2" w:rsidRDefault="00EF3D95" w:rsidP="008D6650">
            <w:pPr>
              <w:keepNext/>
              <w:ind w:left="67"/>
              <w:jc w:val="both"/>
              <w:rPr>
                <w:szCs w:val="20"/>
              </w:rPr>
            </w:pPr>
          </w:p>
        </w:tc>
        <w:tc>
          <w:tcPr>
            <w:tcW w:w="3935" w:type="dxa"/>
            <w:tcBorders>
              <w:top w:val="none" w:sz="0" w:space="0" w:color="auto"/>
              <w:bottom w:val="none" w:sz="0" w:space="0" w:color="auto"/>
            </w:tcBorders>
          </w:tcPr>
          <w:p w14:paraId="3BEE3FD0" w14:textId="77777777" w:rsidR="00EF3D95" w:rsidRPr="00C449C2" w:rsidRDefault="00EF3D95" w:rsidP="008D6650">
            <w:pPr>
              <w:keepNext/>
              <w:ind w:left="69"/>
              <w:jc w:val="both"/>
              <w:rPr>
                <w:szCs w:val="20"/>
              </w:rPr>
            </w:pPr>
          </w:p>
        </w:tc>
      </w:tr>
      <w:tr w:rsidR="00EF3D95" w:rsidRPr="00C449C2" w14:paraId="5FCBA133" w14:textId="77777777" w:rsidTr="00EF3D95">
        <w:trPr>
          <w:cantSplit/>
          <w:trHeight w:val="249"/>
          <w:jc w:val="center"/>
        </w:trPr>
        <w:tc>
          <w:tcPr>
            <w:tcW w:w="2050" w:type="dxa"/>
          </w:tcPr>
          <w:p w14:paraId="77BDB9D4" w14:textId="77777777" w:rsidR="00EF3D95" w:rsidRPr="00C449C2" w:rsidRDefault="00EF3D95" w:rsidP="00DA4183">
            <w:pPr>
              <w:keepNext/>
              <w:numPr>
                <w:ilvl w:val="0"/>
                <w:numId w:val="22"/>
              </w:numPr>
              <w:spacing w:after="0"/>
              <w:ind w:left="25"/>
              <w:jc w:val="both"/>
              <w:rPr>
                <w:szCs w:val="20"/>
              </w:rPr>
            </w:pPr>
          </w:p>
        </w:tc>
        <w:tc>
          <w:tcPr>
            <w:tcW w:w="3404" w:type="dxa"/>
            <w:shd w:val="clear" w:color="auto" w:fill="auto"/>
          </w:tcPr>
          <w:p w14:paraId="448EDFD8" w14:textId="77777777" w:rsidR="00EF3D95" w:rsidRPr="00C449C2" w:rsidRDefault="00EF3D95" w:rsidP="008D6650">
            <w:pPr>
              <w:keepNext/>
              <w:ind w:left="67"/>
              <w:jc w:val="both"/>
              <w:rPr>
                <w:szCs w:val="20"/>
              </w:rPr>
            </w:pPr>
          </w:p>
        </w:tc>
        <w:tc>
          <w:tcPr>
            <w:tcW w:w="3935" w:type="dxa"/>
          </w:tcPr>
          <w:p w14:paraId="382E359D" w14:textId="77777777" w:rsidR="00EF3D95" w:rsidRPr="00C449C2" w:rsidRDefault="00EF3D95" w:rsidP="008D6650">
            <w:pPr>
              <w:keepNext/>
              <w:ind w:left="69"/>
              <w:jc w:val="both"/>
              <w:rPr>
                <w:szCs w:val="20"/>
              </w:rPr>
            </w:pPr>
          </w:p>
        </w:tc>
      </w:tr>
    </w:tbl>
    <w:p w14:paraId="21F40137" w14:textId="77777777" w:rsidR="00EF3D95" w:rsidRPr="00EF3D95" w:rsidRDefault="00EF3D95" w:rsidP="008D6650">
      <w:pPr>
        <w:jc w:val="both"/>
      </w:pPr>
    </w:p>
    <w:p w14:paraId="28DF4CBC" w14:textId="77777777" w:rsidR="009F5844" w:rsidRDefault="009F5844" w:rsidP="008D6650">
      <w:pPr>
        <w:pStyle w:val="Titre2"/>
        <w:jc w:val="both"/>
      </w:pPr>
      <w:bookmarkStart w:id="20" w:name="_Toc161759369"/>
      <w:r>
        <w:t>Responsables de traitement et</w:t>
      </w:r>
      <w:r w:rsidR="008D099D">
        <w:t xml:space="preserve"> service chargé</w:t>
      </w:r>
      <w:r>
        <w:t xml:space="preserve"> de la mise en œuvre des traitements</w:t>
      </w:r>
      <w:bookmarkEnd w:id="20"/>
    </w:p>
    <w:p w14:paraId="198F9327" w14:textId="3CAA53C7" w:rsidR="009F5844" w:rsidRDefault="009F5844" w:rsidP="008D6650">
      <w:pPr>
        <w:jc w:val="both"/>
        <w:rPr>
          <w:i/>
          <w:highlight w:val="yellow"/>
        </w:rPr>
      </w:pPr>
      <w:r w:rsidRPr="002D149D">
        <w:rPr>
          <w:i/>
          <w:highlight w:val="yellow"/>
        </w:rPr>
        <w:t xml:space="preserve">Rédaction conjointe </w:t>
      </w:r>
      <w:r w:rsidR="00903EBA">
        <w:rPr>
          <w:i/>
          <w:highlight w:val="yellow"/>
        </w:rPr>
        <w:t>Institut</w:t>
      </w:r>
      <w:r w:rsidRPr="002D149D">
        <w:rPr>
          <w:i/>
          <w:highlight w:val="yellow"/>
        </w:rPr>
        <w:t>/Partenaire</w:t>
      </w:r>
    </w:p>
    <w:p w14:paraId="340D0441" w14:textId="77777777" w:rsidR="009F5844" w:rsidRPr="00A87BA7" w:rsidRDefault="009F5844" w:rsidP="008D6650">
      <w:pPr>
        <w:jc w:val="both"/>
        <w:rPr>
          <w:i/>
          <w:highlight w:val="yellow"/>
        </w:rPr>
      </w:pPr>
      <w:r>
        <w:rPr>
          <w:i/>
          <w:highlight w:val="yellow"/>
        </w:rPr>
        <w:t xml:space="preserve">Le responsable de traitement est le promoteur de </w:t>
      </w:r>
      <w:r w:rsidRPr="00A87BA7">
        <w:rPr>
          <w:i/>
          <w:highlight w:val="yellow"/>
        </w:rPr>
        <w:t>l’étude</w:t>
      </w:r>
      <w:r w:rsidR="00A87BA7" w:rsidRPr="00A87BA7">
        <w:rPr>
          <w:i/>
          <w:highlight w:val="yellow"/>
        </w:rPr>
        <w:t>. Il détermine les finalités et les moyens d’un traitement, c’est à dire l’objectif et la façon de le réaliser. Une étude peut avoir plusieurs responsables de traitement.</w:t>
      </w:r>
    </w:p>
    <w:p w14:paraId="7268F738" w14:textId="77777777" w:rsidR="009F5844" w:rsidRDefault="009F5844" w:rsidP="008D6650">
      <w:pPr>
        <w:jc w:val="both"/>
        <w:rPr>
          <w:i/>
          <w:highlight w:val="yellow"/>
        </w:rPr>
      </w:pPr>
      <w:r>
        <w:rPr>
          <w:i/>
          <w:highlight w:val="yellow"/>
        </w:rPr>
        <w:t xml:space="preserve">Le </w:t>
      </w:r>
      <w:r w:rsidR="008D099D">
        <w:rPr>
          <w:i/>
          <w:highlight w:val="yellow"/>
        </w:rPr>
        <w:t>service chargé</w:t>
      </w:r>
      <w:r>
        <w:rPr>
          <w:i/>
          <w:highlight w:val="yellow"/>
        </w:rPr>
        <w:t xml:space="preserve"> de la mise en œuvre des traitements est l’organisme ayant la charge et la responsabilité d’effectuer </w:t>
      </w:r>
      <w:r w:rsidR="00B50B75">
        <w:rPr>
          <w:i/>
          <w:highlight w:val="yellow"/>
        </w:rPr>
        <w:t>le</w:t>
      </w:r>
      <w:r>
        <w:rPr>
          <w:i/>
          <w:highlight w:val="yellow"/>
        </w:rPr>
        <w:t>s analyses</w:t>
      </w:r>
      <w:r w:rsidR="008D099D">
        <w:rPr>
          <w:i/>
          <w:highlight w:val="yellow"/>
        </w:rPr>
        <w:t xml:space="preserve"> pour le compte du responsable de traitement.</w:t>
      </w:r>
    </w:p>
    <w:p w14:paraId="3FE115BB" w14:textId="77777777" w:rsidR="009F5844" w:rsidRPr="008D099D" w:rsidRDefault="008D099D" w:rsidP="008D6650">
      <w:pPr>
        <w:jc w:val="both"/>
        <w:rPr>
          <w:i/>
          <w:iCs/>
        </w:rPr>
      </w:pPr>
      <w:r>
        <w:t>Responsable de traitement</w:t>
      </w:r>
      <w:r>
        <w:rPr>
          <w:rFonts w:ascii="Cambria" w:hAnsi="Cambria" w:cs="Cambria"/>
        </w:rPr>
        <w:t> </w:t>
      </w:r>
      <w:r>
        <w:t xml:space="preserve">: </w:t>
      </w:r>
      <w:r>
        <w:rPr>
          <w:i/>
          <w:iCs/>
        </w:rPr>
        <w:t>Organisme, Responsable légal, adresse</w:t>
      </w:r>
    </w:p>
    <w:p w14:paraId="390B8079" w14:textId="77777777" w:rsidR="008D099D" w:rsidRDefault="008D099D" w:rsidP="008D6650">
      <w:pPr>
        <w:jc w:val="both"/>
      </w:pPr>
      <w:r>
        <w:t>Service chargé de la mise en œuvre des traitements</w:t>
      </w:r>
      <w:r>
        <w:rPr>
          <w:rFonts w:ascii="Cambria" w:hAnsi="Cambria" w:cs="Cambria"/>
        </w:rPr>
        <w:t> </w:t>
      </w:r>
      <w:r>
        <w:t xml:space="preserve">: </w:t>
      </w:r>
      <w:r>
        <w:rPr>
          <w:i/>
          <w:iCs/>
        </w:rPr>
        <w:t>Organisme, Responsable légal, adresse, nom du Service le cas échéant</w:t>
      </w:r>
    </w:p>
    <w:p w14:paraId="094C7E1F" w14:textId="77777777" w:rsidR="008D099D" w:rsidRPr="009F5844" w:rsidRDefault="008D099D" w:rsidP="008D6650">
      <w:pPr>
        <w:jc w:val="both"/>
      </w:pPr>
    </w:p>
    <w:p w14:paraId="568F2EC5" w14:textId="77777777" w:rsidR="00B54C8C" w:rsidRDefault="00B54C8C" w:rsidP="008D6650">
      <w:pPr>
        <w:pStyle w:val="Titre2"/>
        <w:jc w:val="both"/>
      </w:pPr>
      <w:bookmarkStart w:id="21" w:name="_Toc161759370"/>
      <w:r>
        <w:t>Équipe coordinatrice</w:t>
      </w:r>
      <w:bookmarkEnd w:id="21"/>
    </w:p>
    <w:p w14:paraId="4E022EA8" w14:textId="6D5CCF15" w:rsidR="00B54C8C" w:rsidRDefault="00B54C8C" w:rsidP="008D6650">
      <w:pPr>
        <w:jc w:val="both"/>
        <w:rPr>
          <w:i/>
          <w:highlight w:val="yellow"/>
        </w:rPr>
      </w:pPr>
      <w:r w:rsidRPr="002D149D">
        <w:rPr>
          <w:i/>
          <w:highlight w:val="yellow"/>
        </w:rPr>
        <w:t xml:space="preserve">Rédaction conjointe </w:t>
      </w:r>
      <w:r w:rsidR="00903EBA">
        <w:rPr>
          <w:i/>
          <w:highlight w:val="yellow"/>
        </w:rPr>
        <w:t>Institut</w:t>
      </w:r>
      <w:r w:rsidRPr="002D149D">
        <w:rPr>
          <w:i/>
          <w:highlight w:val="yellow"/>
        </w:rPr>
        <w:t>/Partenaire</w:t>
      </w:r>
      <w:r w:rsidR="003E4D98">
        <w:rPr>
          <w:i/>
          <w:highlight w:val="yellow"/>
        </w:rPr>
        <w:t>. L’objectif est de présenter les équipes qui pilotent de façon opérationnelle l’étude</w:t>
      </w:r>
    </w:p>
    <w:p w14:paraId="44C4BCDF" w14:textId="77777777" w:rsidR="007609AC" w:rsidRDefault="007609AC" w:rsidP="008D6650">
      <w:pPr>
        <w:jc w:val="both"/>
        <w:rPr>
          <w:i/>
          <w:highlight w:val="yellow"/>
        </w:rPr>
      </w:pPr>
      <w:r>
        <w:rPr>
          <w:i/>
          <w:highlight w:val="yellow"/>
        </w:rPr>
        <w:t>Préciser les liens entre les différentes équipes, le conventionnement prévu afin que le lecteur sache qui fait quoi</w:t>
      </w:r>
    </w:p>
    <w:p w14:paraId="4A8E88AF" w14:textId="77777777" w:rsidR="0021432F" w:rsidRDefault="0021432F" w:rsidP="008D6650">
      <w:pPr>
        <w:jc w:val="both"/>
      </w:pPr>
      <w:r>
        <w:t>Équipe 1</w:t>
      </w:r>
      <w:r>
        <w:rPr>
          <w:rFonts w:ascii="Cambria" w:hAnsi="Cambria" w:cs="Cambria"/>
        </w:rPr>
        <w:t> </w:t>
      </w:r>
      <w:r>
        <w:t>:</w:t>
      </w:r>
    </w:p>
    <w:p w14:paraId="591E7AF6" w14:textId="77777777" w:rsidR="00262561" w:rsidRDefault="00262561" w:rsidP="008D6650">
      <w:pPr>
        <w:ind w:left="708"/>
        <w:jc w:val="both"/>
      </w:pPr>
      <w:r w:rsidRPr="00262561">
        <w:t>Département Données et évaluation en santé</w:t>
      </w:r>
    </w:p>
    <w:p w14:paraId="016023F6" w14:textId="77777777" w:rsidR="00262561" w:rsidRDefault="0021432F" w:rsidP="008D6650">
      <w:pPr>
        <w:ind w:left="708"/>
        <w:jc w:val="both"/>
      </w:pPr>
      <w:r>
        <w:t>Direction de l’Observation, des Sciences des données, et de l’Évaluation</w:t>
      </w:r>
    </w:p>
    <w:p w14:paraId="605039C1" w14:textId="77777777" w:rsidR="0021432F" w:rsidRDefault="0021432F" w:rsidP="008D6650">
      <w:pPr>
        <w:ind w:left="708"/>
        <w:jc w:val="both"/>
      </w:pPr>
      <w:r>
        <w:t>Institut national du cancer</w:t>
      </w:r>
    </w:p>
    <w:p w14:paraId="00C49376" w14:textId="77777777" w:rsidR="0021432F" w:rsidRPr="00262561" w:rsidRDefault="0021432F" w:rsidP="008D6650">
      <w:pPr>
        <w:jc w:val="both"/>
      </w:pPr>
    </w:p>
    <w:p w14:paraId="1059B57D" w14:textId="77777777" w:rsidR="00B54C8C" w:rsidRPr="00F379A3" w:rsidRDefault="00B54C8C" w:rsidP="008D6650">
      <w:pPr>
        <w:pStyle w:val="Titre2"/>
        <w:jc w:val="both"/>
      </w:pPr>
      <w:bookmarkStart w:id="22" w:name="_Toc161759371"/>
      <w:r>
        <w:t>Partenaires</w:t>
      </w:r>
      <w:bookmarkEnd w:id="22"/>
    </w:p>
    <w:p w14:paraId="5C9448E9" w14:textId="77777777" w:rsidR="00B54C8C" w:rsidRDefault="00B54C8C" w:rsidP="008D6650">
      <w:pPr>
        <w:jc w:val="both"/>
      </w:pPr>
    </w:p>
    <w:p w14:paraId="3FBE0972" w14:textId="77777777" w:rsidR="00B54C8C" w:rsidRDefault="00B54C8C" w:rsidP="008D6650">
      <w:pPr>
        <w:pStyle w:val="Titre2"/>
        <w:jc w:val="both"/>
      </w:pPr>
      <w:bookmarkStart w:id="23" w:name="_Toc161759372"/>
      <w:r>
        <w:t>Comité d’experts</w:t>
      </w:r>
      <w:bookmarkEnd w:id="23"/>
    </w:p>
    <w:p w14:paraId="787D20B2" w14:textId="77777777" w:rsidR="00B54C8C" w:rsidRPr="009F5844" w:rsidRDefault="00B54C8C" w:rsidP="008D6650">
      <w:pPr>
        <w:jc w:val="both"/>
      </w:pPr>
    </w:p>
    <w:p w14:paraId="735C3509" w14:textId="77777777" w:rsidR="009F5844" w:rsidRPr="009F5844" w:rsidRDefault="009F5844" w:rsidP="008D6650">
      <w:pPr>
        <w:pStyle w:val="Titre2"/>
        <w:jc w:val="both"/>
      </w:pPr>
      <w:bookmarkStart w:id="24" w:name="_Toc161759373"/>
      <w:r w:rsidRPr="009F5844">
        <w:t>Délégué à la protection des données</w:t>
      </w:r>
      <w:r w:rsidR="003E4D98">
        <w:t xml:space="preserve"> (DPO)</w:t>
      </w:r>
      <w:bookmarkEnd w:id="24"/>
    </w:p>
    <w:p w14:paraId="336B9B86" w14:textId="77777777" w:rsidR="00B50B75" w:rsidRDefault="00B50B75" w:rsidP="008D6650">
      <w:pPr>
        <w:jc w:val="both"/>
      </w:pPr>
      <w:r w:rsidRPr="007A102D">
        <w:t>La DPO est Laurence Loupiac, service juridique, Institut national du cancer</w:t>
      </w:r>
      <w:r w:rsidR="000B673F">
        <w:t>.</w:t>
      </w:r>
    </w:p>
    <w:p w14:paraId="423A23E5" w14:textId="77777777" w:rsidR="000B673F" w:rsidRPr="007A102D" w:rsidRDefault="000B673F" w:rsidP="008D6650">
      <w:pPr>
        <w:jc w:val="both"/>
      </w:pPr>
      <w:r w:rsidRPr="00951FC3">
        <w:rPr>
          <w:highlight w:val="yellow"/>
        </w:rPr>
        <w:t>Ajouter le DPO du porteur de l’étude</w:t>
      </w:r>
      <w:r>
        <w:t xml:space="preserve"> </w:t>
      </w:r>
    </w:p>
    <w:p w14:paraId="4B7FD538" w14:textId="77777777" w:rsidR="009F5844" w:rsidRDefault="009F5844" w:rsidP="008D6650">
      <w:pPr>
        <w:jc w:val="both"/>
      </w:pPr>
    </w:p>
    <w:p w14:paraId="022394B2" w14:textId="77777777" w:rsidR="009F5844" w:rsidRDefault="009F5844" w:rsidP="008D6650">
      <w:pPr>
        <w:pStyle w:val="Titre2"/>
        <w:jc w:val="both"/>
      </w:pPr>
      <w:bookmarkStart w:id="25" w:name="_Toc161759374"/>
      <w:r>
        <w:t>Organisme financeur et contractualisation</w:t>
      </w:r>
      <w:bookmarkEnd w:id="25"/>
    </w:p>
    <w:p w14:paraId="2A0C31DA" w14:textId="77777777" w:rsidR="003E4D98" w:rsidRDefault="003E4D98" w:rsidP="008D6650">
      <w:pPr>
        <w:jc w:val="both"/>
      </w:pPr>
      <w:r w:rsidRPr="00717765">
        <w:t>Une convention</w:t>
      </w:r>
      <w:r w:rsidR="000B673F">
        <w:t xml:space="preserve"> </w:t>
      </w:r>
      <w:r w:rsidR="000B673F" w:rsidRPr="00951FC3">
        <w:rPr>
          <w:highlight w:val="yellow"/>
        </w:rPr>
        <w:t xml:space="preserve">de responsabilité conjointe ou de sous </w:t>
      </w:r>
      <w:proofErr w:type="spellStart"/>
      <w:r w:rsidR="000B673F" w:rsidRPr="00951FC3">
        <w:rPr>
          <w:highlight w:val="yellow"/>
        </w:rPr>
        <w:t>traitance</w:t>
      </w:r>
      <w:proofErr w:type="spellEnd"/>
      <w:r w:rsidR="000B673F" w:rsidRPr="00951FC3">
        <w:rPr>
          <w:highlight w:val="yellow"/>
        </w:rPr>
        <w:t xml:space="preserve"> (supprimer la mention inutile)</w:t>
      </w:r>
      <w:r w:rsidRPr="00717765">
        <w:t xml:space="preserve"> sera signée entre les différent</w:t>
      </w:r>
      <w:r w:rsidR="000B673F">
        <w:t>e</w:t>
      </w:r>
      <w:r w:rsidRPr="00717765">
        <w:t xml:space="preserve">s parties </w:t>
      </w:r>
      <w:r>
        <w:t>une fois l’ensemble des autorisations obtenues. La convention précise le rôle et les r</w:t>
      </w:r>
      <w:r w:rsidR="00584AB4">
        <w:t>e</w:t>
      </w:r>
      <w:r>
        <w:t>sponsabilités de chaque organisme (responsable de traitement, service de la mise en œuvre des traitements, équipe collaboratrice …) ainsi que</w:t>
      </w:r>
      <w:r w:rsidRPr="00717765">
        <w:t xml:space="preserve"> les modalités de partage et d’accès aux données.</w:t>
      </w:r>
    </w:p>
    <w:p w14:paraId="4F3D4A22" w14:textId="37884DF5" w:rsidR="00AF3473" w:rsidRDefault="00AF3473" w:rsidP="008D6650">
      <w:pPr>
        <w:spacing w:line="240" w:lineRule="auto"/>
        <w:jc w:val="both"/>
        <w:rPr>
          <w:rFonts w:ascii="Marianne" w:eastAsia="MS Mincho" w:hAnsi="Marianne" w:cs="Arial"/>
          <w:b/>
          <w:bCs/>
          <w:caps/>
          <w:color w:val="0070C0"/>
          <w:spacing w:val="20"/>
          <w:sz w:val="32"/>
          <w:szCs w:val="40"/>
        </w:rPr>
      </w:pPr>
    </w:p>
    <w:p w14:paraId="7D51DDB4" w14:textId="77777777" w:rsidR="00AC0A48" w:rsidRPr="00195EC6" w:rsidRDefault="007A5E8D" w:rsidP="008D6650">
      <w:pPr>
        <w:pStyle w:val="Titre1"/>
        <w:jc w:val="both"/>
      </w:pPr>
      <w:bookmarkStart w:id="26" w:name="_Toc161759375"/>
      <w:r>
        <w:t>contexte</w:t>
      </w:r>
      <w:r w:rsidR="00F43796" w:rsidRPr="00F43796">
        <w:t xml:space="preserve"> de l’étude</w:t>
      </w:r>
      <w:bookmarkEnd w:id="18"/>
      <w:r>
        <w:t xml:space="preserve">, recherche ou </w:t>
      </w:r>
      <w:r w:rsidR="004669DE">
        <w:t>évaluation</w:t>
      </w:r>
      <w:bookmarkEnd w:id="26"/>
    </w:p>
    <w:p w14:paraId="48B33D0C" w14:textId="77777777" w:rsidR="00F43796" w:rsidRPr="00161BED" w:rsidRDefault="006A5130" w:rsidP="008D6650">
      <w:pPr>
        <w:jc w:val="both"/>
        <w:rPr>
          <w:i/>
          <w:iCs/>
        </w:rPr>
      </w:pPr>
      <w:r w:rsidRPr="00161BED">
        <w:rPr>
          <w:i/>
          <w:iCs/>
          <w:highlight w:val="yellow"/>
        </w:rPr>
        <w:t xml:space="preserve">À compléter </w:t>
      </w:r>
      <w:r w:rsidR="004D2B2A" w:rsidRPr="00161BED">
        <w:rPr>
          <w:i/>
          <w:iCs/>
          <w:highlight w:val="yellow"/>
        </w:rPr>
        <w:t xml:space="preserve">par </w:t>
      </w:r>
      <w:r w:rsidR="004823EC" w:rsidRPr="00161BED">
        <w:rPr>
          <w:i/>
          <w:iCs/>
          <w:highlight w:val="yellow"/>
        </w:rPr>
        <w:t>le partenaire</w:t>
      </w:r>
      <w:r w:rsidR="004D2B2A" w:rsidRPr="00161BED">
        <w:rPr>
          <w:i/>
          <w:iCs/>
          <w:highlight w:val="yellow"/>
        </w:rPr>
        <w:t xml:space="preserve"> </w:t>
      </w:r>
      <w:r w:rsidRPr="00161BED">
        <w:rPr>
          <w:i/>
          <w:iCs/>
          <w:highlight w:val="yellow"/>
        </w:rPr>
        <w:t xml:space="preserve">avec références bibliographiques intégrées sous format </w:t>
      </w:r>
      <w:proofErr w:type="spellStart"/>
      <w:r w:rsidRPr="00161BED">
        <w:rPr>
          <w:i/>
          <w:iCs/>
          <w:highlight w:val="yellow"/>
        </w:rPr>
        <w:t>Zotero</w:t>
      </w:r>
      <w:proofErr w:type="spellEnd"/>
      <w:r w:rsidRPr="00161BED">
        <w:rPr>
          <w:rFonts w:cs="Calibri"/>
          <w:i/>
          <w:iCs/>
          <w:highlight w:val="yellow"/>
        </w:rPr>
        <w:t>®</w:t>
      </w:r>
      <w:r w:rsidR="00D06410" w:rsidRPr="00161BED">
        <w:rPr>
          <w:rFonts w:cs="Calibri"/>
          <w:i/>
          <w:iCs/>
          <w:highlight w:val="yellow"/>
        </w:rPr>
        <w:t xml:space="preserve">, </w:t>
      </w:r>
      <w:proofErr w:type="spellStart"/>
      <w:r w:rsidR="00D06410" w:rsidRPr="00161BED">
        <w:rPr>
          <w:rFonts w:cs="Calibri"/>
          <w:i/>
          <w:iCs/>
          <w:highlight w:val="yellow"/>
        </w:rPr>
        <w:t>EndNote</w:t>
      </w:r>
      <w:proofErr w:type="spellEnd"/>
      <w:r w:rsidR="00D06410" w:rsidRPr="00161BED">
        <w:rPr>
          <w:rFonts w:cs="Calibri"/>
          <w:i/>
          <w:iCs/>
          <w:highlight w:val="yellow"/>
        </w:rPr>
        <w:t>® ou équivalent</w:t>
      </w:r>
    </w:p>
    <w:p w14:paraId="1F39DC8A" w14:textId="77777777" w:rsidR="006A5130" w:rsidRDefault="006A5130" w:rsidP="008D6650">
      <w:pPr>
        <w:jc w:val="both"/>
      </w:pPr>
    </w:p>
    <w:p w14:paraId="09CE522F" w14:textId="77777777" w:rsidR="00D06410" w:rsidRPr="00D06410" w:rsidRDefault="00D06410" w:rsidP="008D6650">
      <w:pPr>
        <w:jc w:val="both"/>
      </w:pPr>
    </w:p>
    <w:p w14:paraId="4B338374" w14:textId="77777777" w:rsidR="00F43796" w:rsidRDefault="00F43796" w:rsidP="008D6650">
      <w:pPr>
        <w:pStyle w:val="Titre1"/>
        <w:jc w:val="both"/>
      </w:pPr>
      <w:bookmarkStart w:id="27" w:name="_Toc161759376"/>
      <w:r>
        <w:t>Objectifs de l’étude</w:t>
      </w:r>
      <w:bookmarkEnd w:id="27"/>
    </w:p>
    <w:p w14:paraId="1246E3B1" w14:textId="77777777" w:rsidR="004D2B2A" w:rsidRPr="004D2B2A" w:rsidRDefault="004D2B2A" w:rsidP="008D6650">
      <w:pPr>
        <w:jc w:val="both"/>
      </w:pPr>
      <w:r w:rsidRPr="006A5130">
        <w:rPr>
          <w:i/>
          <w:highlight w:val="yellow"/>
        </w:rPr>
        <w:t xml:space="preserve">À compléter </w:t>
      </w:r>
      <w:r>
        <w:rPr>
          <w:i/>
          <w:highlight w:val="yellow"/>
        </w:rPr>
        <w:t xml:space="preserve">par </w:t>
      </w:r>
      <w:r w:rsidR="004823EC">
        <w:rPr>
          <w:i/>
          <w:highlight w:val="yellow"/>
        </w:rPr>
        <w:t>le partenaire</w:t>
      </w:r>
    </w:p>
    <w:p w14:paraId="4499BC04" w14:textId="77777777" w:rsidR="006A5130" w:rsidRPr="006A5130" w:rsidRDefault="00F43796" w:rsidP="008D6650">
      <w:pPr>
        <w:pStyle w:val="Titre2"/>
        <w:jc w:val="both"/>
      </w:pPr>
      <w:bookmarkStart w:id="28" w:name="_Toc161759377"/>
      <w:r>
        <w:t>Objectif principal de l’étude</w:t>
      </w:r>
      <w:bookmarkEnd w:id="28"/>
    </w:p>
    <w:p w14:paraId="58CEC091" w14:textId="77777777" w:rsidR="00EF2F70" w:rsidRDefault="00F43796" w:rsidP="008D6650">
      <w:pPr>
        <w:pStyle w:val="Titre2"/>
        <w:jc w:val="both"/>
      </w:pPr>
      <w:bookmarkStart w:id="29" w:name="_Toc161759378"/>
      <w:r>
        <w:t>Objectifs secondaires</w:t>
      </w:r>
      <w:bookmarkEnd w:id="29"/>
    </w:p>
    <w:p w14:paraId="0EBE4FB9" w14:textId="77777777" w:rsidR="00642EA3" w:rsidRDefault="00642EA3" w:rsidP="008D6650">
      <w:pPr>
        <w:jc w:val="both"/>
      </w:pPr>
    </w:p>
    <w:p w14:paraId="360525E7" w14:textId="77777777" w:rsidR="00B54C8C" w:rsidRPr="000A75EE" w:rsidRDefault="00B54C8C" w:rsidP="008D6650">
      <w:pPr>
        <w:pStyle w:val="Titre1"/>
        <w:jc w:val="both"/>
        <w:rPr>
          <w:highlight w:val="cyan"/>
        </w:rPr>
      </w:pPr>
      <w:bookmarkStart w:id="30" w:name="_Toc161759379"/>
      <w:r w:rsidRPr="000A75EE">
        <w:rPr>
          <w:highlight w:val="cyan"/>
        </w:rPr>
        <w:t>Respect de l’éthique</w:t>
      </w:r>
      <w:bookmarkEnd w:id="30"/>
    </w:p>
    <w:p w14:paraId="7E8BE382" w14:textId="77777777" w:rsidR="00B54C8C" w:rsidRDefault="00567164" w:rsidP="008D6650">
      <w:pPr>
        <w:jc w:val="both"/>
      </w:pPr>
      <w:r>
        <w:t xml:space="preserve">Cette étude est un </w:t>
      </w:r>
      <w:r w:rsidRPr="00567164">
        <w:t>traitement de données à caractère personnel ayant pour finalité la réalisation de recherches, études et évaluations dans le domaine de la santé ne répondant pas à la définition des recherches impliquant la personne humaine telles que définies à l'article L. 1121-1 du CSP</w:t>
      </w:r>
      <w:r w:rsidR="002A448D">
        <w:t xml:space="preserve"> (code de la santé publique)</w:t>
      </w:r>
      <w:r w:rsidR="00AE0750">
        <w:t>. A ce titre, aucune intervention n’est effectuée sur la personne et les données exploitées ont été collectées par ailleurs.</w:t>
      </w:r>
    </w:p>
    <w:p w14:paraId="57A3F533" w14:textId="77777777" w:rsidR="00737DE3" w:rsidRDefault="00737DE3" w:rsidP="008D6650">
      <w:pPr>
        <w:jc w:val="both"/>
      </w:pPr>
      <w:r w:rsidRPr="00951FC3">
        <w:rPr>
          <w:highlight w:val="yellow"/>
        </w:rPr>
        <w:t xml:space="preserve">Si passage au </w:t>
      </w:r>
      <w:proofErr w:type="spellStart"/>
      <w:r w:rsidRPr="00951FC3">
        <w:rPr>
          <w:highlight w:val="yellow"/>
        </w:rPr>
        <w:t>Cesrees</w:t>
      </w:r>
      <w:proofErr w:type="spellEnd"/>
      <w:r w:rsidRPr="00951FC3">
        <w:rPr>
          <w:highlight w:val="yellow"/>
        </w:rPr>
        <w:t xml:space="preserve"> et à la Cnil (sinon paragraphe à supprimer)</w:t>
      </w:r>
    </w:p>
    <w:p w14:paraId="480292D9" w14:textId="77777777" w:rsidR="00AE0750" w:rsidRDefault="00AE0750" w:rsidP="008D6650">
      <w:pPr>
        <w:jc w:val="both"/>
      </w:pPr>
      <w:r>
        <w:t>Préalablement à la réalisation de l’étude, le protocole sera soumis au Comité scientifique et éthique de la plateforme de données en cancérologie, et le cas échéant au Comité éthique et scientifique sur les recherches, études et évaluations dans le domaine de la santé (</w:t>
      </w:r>
      <w:proofErr w:type="spellStart"/>
      <w:r>
        <w:t>Cesre</w:t>
      </w:r>
      <w:r w:rsidR="004D7898">
        <w:t>e</w:t>
      </w:r>
      <w:r>
        <w:t>s</w:t>
      </w:r>
      <w:proofErr w:type="spellEnd"/>
      <w:r>
        <w:t>) et à la Commission nationale de l’informatique et des libertés (Cnil).</w:t>
      </w:r>
    </w:p>
    <w:p w14:paraId="25C86933" w14:textId="77777777" w:rsidR="00737DE3" w:rsidRDefault="00737DE3" w:rsidP="008D6650">
      <w:pPr>
        <w:jc w:val="both"/>
      </w:pPr>
      <w:r w:rsidRPr="00951FC3">
        <w:rPr>
          <w:highlight w:val="yellow"/>
        </w:rPr>
        <w:t>Si conforme à la décision unique de l’Institut (sinon paragraphe à supprimer)</w:t>
      </w:r>
    </w:p>
    <w:p w14:paraId="14787F41" w14:textId="17B8BE3B" w:rsidR="00737DE3" w:rsidRDefault="00737DE3" w:rsidP="008D6650">
      <w:pPr>
        <w:jc w:val="both"/>
      </w:pPr>
      <w:r>
        <w:t xml:space="preserve">Préalablement à la réalisation de l’étude, le protocole sera soumis au Comité scientifique et éthique de la plateforme de données en cancérologie. </w:t>
      </w:r>
      <w:r>
        <w:rPr>
          <w:szCs w:val="20"/>
        </w:rPr>
        <w:t>Le projet relevant de l’autorisation unique délivrée par la CNIL à l’</w:t>
      </w:r>
      <w:r w:rsidR="00903EBA">
        <w:rPr>
          <w:szCs w:val="20"/>
        </w:rPr>
        <w:t>I</w:t>
      </w:r>
      <w:r>
        <w:rPr>
          <w:szCs w:val="20"/>
        </w:rPr>
        <w:t>nstitut il ne sera pas soumis au</w:t>
      </w:r>
      <w:r w:rsidRPr="003242F3">
        <w:rPr>
          <w:szCs w:val="20"/>
        </w:rPr>
        <w:t xml:space="preserve"> Comité éthique et scientifique sur les recherches, études et évaluations dans le domaine de la santé (</w:t>
      </w:r>
      <w:proofErr w:type="spellStart"/>
      <w:r w:rsidRPr="003242F3">
        <w:rPr>
          <w:szCs w:val="20"/>
        </w:rPr>
        <w:t>Cesress</w:t>
      </w:r>
      <w:proofErr w:type="spellEnd"/>
      <w:r w:rsidRPr="003242F3">
        <w:rPr>
          <w:szCs w:val="20"/>
        </w:rPr>
        <w:t>) et à la Commission nationale de l’informatique et des libertés (Cnil).</w:t>
      </w:r>
    </w:p>
    <w:p w14:paraId="6DB69D27" w14:textId="77777777" w:rsidR="00737DE3" w:rsidRPr="00951FC3" w:rsidRDefault="001C16C3" w:rsidP="008D6650">
      <w:pPr>
        <w:jc w:val="both"/>
        <w:rPr>
          <w:i/>
        </w:rPr>
      </w:pPr>
      <w:r w:rsidRPr="002E3D91">
        <w:rPr>
          <w:i/>
          <w:highlight w:val="yellow"/>
        </w:rPr>
        <w:t>A supprimer si on ne mobilise pas les données du SNDS :</w:t>
      </w:r>
    </w:p>
    <w:p w14:paraId="11B7D862" w14:textId="77777777" w:rsidR="002A448D" w:rsidRDefault="002A448D" w:rsidP="008D6650">
      <w:pPr>
        <w:jc w:val="both"/>
      </w:pPr>
      <w:r>
        <w:t>Conformément aux dispositions relatives aux SNDS (Système national des données de santé) mentionnées au V de l’article L. 1461-1 du CSP, les traitements portant sur ces données n’auront pas pour objet une des deux finalités interdites suivantes</w:t>
      </w:r>
      <w:r>
        <w:rPr>
          <w:rFonts w:ascii="Cambria" w:hAnsi="Cambria" w:cs="Cambria"/>
        </w:rPr>
        <w:t> </w:t>
      </w:r>
      <w:r>
        <w:t>:</w:t>
      </w:r>
    </w:p>
    <w:p w14:paraId="54F4DAC7" w14:textId="77777777" w:rsidR="002A448D" w:rsidRDefault="002A448D" w:rsidP="008D6650">
      <w:pPr>
        <w:jc w:val="both"/>
      </w:pPr>
      <w:r>
        <w:t>1° La promotion des produits mentionnés au II de l'article L. 5311-1 en direction des professionnels de santé ou d'établissements de santé ;</w:t>
      </w:r>
    </w:p>
    <w:p w14:paraId="6EA4AC03" w14:textId="3E1F82FD" w:rsidR="001C16C3" w:rsidRDefault="002A448D" w:rsidP="008D6650">
      <w:pPr>
        <w:jc w:val="both"/>
      </w:pPr>
      <w:r>
        <w:t>2° L'exclusion de garanties des contrats d'assurance et la modification de cotisations ou de primes d'assurance d'un individu ou d'un groupe d'individus présentant un même risque.</w:t>
      </w:r>
    </w:p>
    <w:p w14:paraId="3E67E22E" w14:textId="77777777" w:rsidR="00B54C8C" w:rsidRDefault="00AE0750" w:rsidP="008D6650">
      <w:pPr>
        <w:jc w:val="both"/>
      </w:pPr>
      <w:r w:rsidRPr="00AE0750">
        <w:t xml:space="preserve">Conformément aux dispositions de la loi « informatique et libertés », la présentation des résultats du traitement de données ne </w:t>
      </w:r>
      <w:r>
        <w:t>pourra</w:t>
      </w:r>
      <w:r w:rsidRPr="00AE0750">
        <w:t xml:space="preserve"> en aucun cas permettre l'identification directe ou indirecte des personnes concernées par la recherche.</w:t>
      </w:r>
    </w:p>
    <w:p w14:paraId="325CD88D" w14:textId="77777777" w:rsidR="00AE0750" w:rsidRDefault="00AE0750" w:rsidP="008D6650">
      <w:pPr>
        <w:jc w:val="both"/>
      </w:pPr>
      <w:r>
        <w:t>Les personnes seront informées de l’étude (conformément aux dispositions précisées dans le présent document). Ceci comprendra notamment la publicité de l’étude sur le site de l’Institut national du cancer (</w:t>
      </w:r>
      <w:hyperlink r:id="rId12" w:history="1">
        <w:r w:rsidRPr="000B4BC4">
          <w:rPr>
            <w:rStyle w:val="Lienhypertexte"/>
          </w:rPr>
          <w:t>https://lesdonnees.e-cancer.fr</w:t>
        </w:r>
      </w:hyperlink>
      <w:r>
        <w:t>).</w:t>
      </w:r>
    </w:p>
    <w:p w14:paraId="2EEC6AE5" w14:textId="77777777" w:rsidR="00AE0750" w:rsidRDefault="00AE0750" w:rsidP="008D6650">
      <w:pPr>
        <w:jc w:val="both"/>
      </w:pPr>
    </w:p>
    <w:p w14:paraId="3ECDAC95" w14:textId="77777777" w:rsidR="00B54C8C" w:rsidRDefault="00B54C8C" w:rsidP="008D6650">
      <w:pPr>
        <w:pStyle w:val="Titre1"/>
        <w:jc w:val="both"/>
      </w:pPr>
      <w:bookmarkStart w:id="31" w:name="_Toc161759380"/>
      <w:r w:rsidRPr="004D2B2A">
        <w:t>justification d’intérêt public de l’étude, la recherche ou l’évaluation</w:t>
      </w:r>
      <w:bookmarkEnd w:id="31"/>
    </w:p>
    <w:p w14:paraId="73629E5A" w14:textId="77777777" w:rsidR="00B54C8C" w:rsidRPr="002D149D" w:rsidRDefault="00B54C8C" w:rsidP="008D6650">
      <w:pPr>
        <w:jc w:val="both"/>
        <w:rPr>
          <w:i/>
          <w:iCs/>
          <w:highlight w:val="yellow"/>
        </w:rPr>
      </w:pPr>
      <w:r w:rsidRPr="002D149D">
        <w:rPr>
          <w:i/>
          <w:iCs/>
          <w:highlight w:val="yellow"/>
        </w:rPr>
        <w:t xml:space="preserve">À compléter par le partenaire avec références bibliographiques intégrées sous format </w:t>
      </w:r>
      <w:proofErr w:type="spellStart"/>
      <w:r w:rsidRPr="002D149D">
        <w:rPr>
          <w:i/>
          <w:iCs/>
          <w:highlight w:val="yellow"/>
        </w:rPr>
        <w:t>Zotero®ou</w:t>
      </w:r>
      <w:proofErr w:type="spellEnd"/>
      <w:r w:rsidRPr="002D149D">
        <w:rPr>
          <w:i/>
          <w:iCs/>
          <w:highlight w:val="yellow"/>
        </w:rPr>
        <w:t xml:space="preserve"> </w:t>
      </w:r>
      <w:proofErr w:type="spellStart"/>
      <w:r w:rsidRPr="002D149D">
        <w:rPr>
          <w:i/>
          <w:iCs/>
          <w:highlight w:val="yellow"/>
        </w:rPr>
        <w:t>EndNote</w:t>
      </w:r>
      <w:proofErr w:type="spellEnd"/>
    </w:p>
    <w:p w14:paraId="2961D4D0" w14:textId="25668EDA" w:rsidR="00B54C8C" w:rsidRPr="007039FD" w:rsidRDefault="002D149D" w:rsidP="008D6650">
      <w:pPr>
        <w:jc w:val="both"/>
        <w:rPr>
          <w:i/>
          <w:iCs/>
          <w:highlight w:val="yellow"/>
        </w:rPr>
      </w:pPr>
      <w:r w:rsidRPr="002D149D">
        <w:rPr>
          <w:i/>
          <w:iCs/>
          <w:highlight w:val="yellow"/>
        </w:rPr>
        <w:t>Éléments</w:t>
      </w:r>
      <w:r w:rsidR="00B54C8C" w:rsidRPr="002D149D">
        <w:rPr>
          <w:i/>
          <w:iCs/>
          <w:highlight w:val="yellow"/>
        </w:rPr>
        <w:t xml:space="preserve"> potentiels</w:t>
      </w:r>
      <w:r w:rsidR="00B54C8C" w:rsidRPr="002D149D">
        <w:rPr>
          <w:rFonts w:ascii="Cambria" w:hAnsi="Cambria" w:cs="Cambria"/>
          <w:i/>
          <w:iCs/>
          <w:highlight w:val="yellow"/>
        </w:rPr>
        <w:t> </w:t>
      </w:r>
      <w:r w:rsidR="00B54C8C" w:rsidRPr="002D149D">
        <w:rPr>
          <w:i/>
          <w:iCs/>
          <w:highlight w:val="yellow"/>
        </w:rPr>
        <w:t>: Fréquence de la pathologie</w:t>
      </w:r>
      <w:r w:rsidR="00B54C8C" w:rsidRPr="002D149D">
        <w:rPr>
          <w:rFonts w:ascii="Cambria" w:hAnsi="Cambria" w:cs="Cambria"/>
          <w:i/>
          <w:iCs/>
          <w:highlight w:val="yellow"/>
        </w:rPr>
        <w:t> </w:t>
      </w:r>
      <w:r w:rsidR="00B54C8C" w:rsidRPr="002D149D">
        <w:rPr>
          <w:i/>
          <w:iCs/>
          <w:highlight w:val="yellow"/>
        </w:rPr>
        <w:t>; Sévérité de la pathologie</w:t>
      </w:r>
      <w:r w:rsidR="00B54C8C" w:rsidRPr="002D149D">
        <w:rPr>
          <w:rFonts w:ascii="Cambria" w:hAnsi="Cambria" w:cs="Cambria"/>
          <w:i/>
          <w:iCs/>
          <w:highlight w:val="yellow"/>
        </w:rPr>
        <w:t> </w:t>
      </w:r>
      <w:r w:rsidR="00B54C8C" w:rsidRPr="002D149D">
        <w:rPr>
          <w:i/>
          <w:iCs/>
          <w:highlight w:val="yellow"/>
        </w:rPr>
        <w:t>; Lien avec la Stratégie décennale de lutte contre les cancers</w:t>
      </w:r>
      <w:r w:rsidR="00B54C8C" w:rsidRPr="002D149D">
        <w:rPr>
          <w:rFonts w:ascii="Cambria" w:hAnsi="Cambria" w:cs="Cambria"/>
          <w:i/>
          <w:iCs/>
          <w:highlight w:val="yellow"/>
        </w:rPr>
        <w:t> </w:t>
      </w:r>
      <w:r w:rsidR="00B54C8C" w:rsidRPr="002D149D">
        <w:rPr>
          <w:i/>
          <w:iCs/>
          <w:highlight w:val="yellow"/>
        </w:rPr>
        <w:t xml:space="preserve">; </w:t>
      </w:r>
      <w:r w:rsidR="00B54C8C" w:rsidRPr="007039FD">
        <w:rPr>
          <w:i/>
          <w:iCs/>
          <w:highlight w:val="yellow"/>
        </w:rPr>
        <w:t>Lien avec les missions de l’</w:t>
      </w:r>
      <w:r w:rsidR="00903EBA">
        <w:rPr>
          <w:i/>
          <w:iCs/>
          <w:highlight w:val="yellow"/>
        </w:rPr>
        <w:t>Institut</w:t>
      </w:r>
      <w:r w:rsidR="00B54C8C" w:rsidRPr="007039FD">
        <w:rPr>
          <w:i/>
          <w:iCs/>
          <w:highlight w:val="yellow"/>
        </w:rPr>
        <w:t xml:space="preserve"> …</w:t>
      </w:r>
    </w:p>
    <w:p w14:paraId="292DFB9E" w14:textId="77777777" w:rsidR="007039FD" w:rsidRPr="002D149D" w:rsidRDefault="007039FD" w:rsidP="008D6650">
      <w:pPr>
        <w:jc w:val="both"/>
        <w:rPr>
          <w:i/>
          <w:iCs/>
        </w:rPr>
      </w:pPr>
      <w:r w:rsidRPr="007039FD">
        <w:rPr>
          <w:i/>
          <w:iCs/>
          <w:highlight w:val="yellow"/>
        </w:rPr>
        <w:t>Ne pas oublier de mettre ce que cela apporte pour les personnes malades, ayant été atteintes d’un cancer ou à risque de cancer, leur proche …</w:t>
      </w:r>
    </w:p>
    <w:p w14:paraId="641A9DE2" w14:textId="77777777" w:rsidR="00B54C8C" w:rsidRPr="002D149D" w:rsidRDefault="00B54C8C" w:rsidP="008D6650">
      <w:pPr>
        <w:jc w:val="both"/>
      </w:pPr>
    </w:p>
    <w:p w14:paraId="6C27DDDC" w14:textId="77777777" w:rsidR="009A2A99" w:rsidRPr="000A75EE" w:rsidRDefault="009A2A99" w:rsidP="008D6650">
      <w:pPr>
        <w:pStyle w:val="Titre1"/>
        <w:jc w:val="both"/>
        <w:rPr>
          <w:highlight w:val="cyan"/>
        </w:rPr>
      </w:pPr>
      <w:bookmarkStart w:id="32" w:name="_Toc161759381"/>
      <w:r w:rsidRPr="000A75EE">
        <w:rPr>
          <w:highlight w:val="cyan"/>
        </w:rPr>
        <w:t xml:space="preserve">Publication des </w:t>
      </w:r>
      <w:r w:rsidR="004669DE">
        <w:rPr>
          <w:highlight w:val="cyan"/>
        </w:rPr>
        <w:t>résultats</w:t>
      </w:r>
      <w:r w:rsidRPr="000A75EE">
        <w:rPr>
          <w:highlight w:val="cyan"/>
        </w:rPr>
        <w:t xml:space="preserve"> et valorisation</w:t>
      </w:r>
      <w:bookmarkEnd w:id="32"/>
    </w:p>
    <w:p w14:paraId="50773D4D" w14:textId="6A82FFDF" w:rsidR="009A2A99" w:rsidRDefault="009A2A99" w:rsidP="008D6650">
      <w:pPr>
        <w:jc w:val="both"/>
        <w:rPr>
          <w:i/>
        </w:rPr>
      </w:pPr>
      <w:r w:rsidRPr="00A41A26">
        <w:rPr>
          <w:i/>
          <w:highlight w:val="yellow"/>
        </w:rPr>
        <w:t xml:space="preserve">Rédaction conjointe </w:t>
      </w:r>
      <w:r w:rsidR="00903EBA">
        <w:rPr>
          <w:i/>
          <w:highlight w:val="yellow"/>
        </w:rPr>
        <w:t>Institut</w:t>
      </w:r>
      <w:r w:rsidRPr="00A41A26">
        <w:rPr>
          <w:i/>
          <w:highlight w:val="yellow"/>
        </w:rPr>
        <w:t>/Partenaire</w:t>
      </w:r>
    </w:p>
    <w:p w14:paraId="0977A0E5" w14:textId="77777777" w:rsidR="00960347" w:rsidRPr="007A102D" w:rsidRDefault="00960347" w:rsidP="008D6650">
      <w:pPr>
        <w:jc w:val="both"/>
      </w:pPr>
      <w:r w:rsidRPr="007A102D">
        <w:t>L’Institut national du cancer publie régulièrement les résultats des études conduites à partir de la plateforme de données en cancérologie en s’appuyant d’une part sur son site internet (</w:t>
      </w:r>
      <w:hyperlink r:id="rId13" w:history="1">
        <w:r w:rsidRPr="007A102D">
          <w:rPr>
            <w:rStyle w:val="Lienhypertexte"/>
          </w:rPr>
          <w:t>https://e-cancer.fr</w:t>
        </w:r>
      </w:hyperlink>
      <w:r w:rsidRPr="007A102D">
        <w:t>) et d’autre part sur sa collection de rapports.</w:t>
      </w:r>
    </w:p>
    <w:p w14:paraId="4D643693" w14:textId="78F9D3E9" w:rsidR="00960347" w:rsidRPr="007A102D" w:rsidRDefault="00960347" w:rsidP="008D6650">
      <w:pPr>
        <w:jc w:val="both"/>
      </w:pPr>
      <w:r w:rsidRPr="007A102D">
        <w:t>Les résultats de ces travaux font également l’objet de publications dans des revues scientifiques internationales à comité de lecture et de communications dans les congrès appropriés.</w:t>
      </w:r>
    </w:p>
    <w:p w14:paraId="1EAC3365" w14:textId="77777777" w:rsidR="001940D6" w:rsidRDefault="001940D6" w:rsidP="001940D6">
      <w:pPr>
        <w:jc w:val="both"/>
      </w:pPr>
      <w:r w:rsidRPr="006844AD">
        <w:rPr>
          <w:highlight w:val="yellow"/>
        </w:rPr>
        <w:t>Si conforme à la décision unique de l’Institut (sinon paragraphe à supprimer)</w:t>
      </w:r>
    </w:p>
    <w:p w14:paraId="2ED97201" w14:textId="4FFA6ED0" w:rsidR="009A2A99" w:rsidRDefault="009A2A99" w:rsidP="008D6650">
      <w:pPr>
        <w:jc w:val="both"/>
      </w:pPr>
      <w:r w:rsidRPr="0020329B">
        <w:t>L’</w:t>
      </w:r>
      <w:r w:rsidR="00903EBA">
        <w:t>I</w:t>
      </w:r>
      <w:r w:rsidRPr="0020329B">
        <w:t>nstitut propose également d’appliquer les dispositions</w:t>
      </w:r>
      <w:r>
        <w:t xml:space="preserve"> </w:t>
      </w:r>
      <w:r w:rsidRPr="0020329B">
        <w:t>prévues par la décision unique de la CNIL n 2019-083 du 20 juin 2019, à</w:t>
      </w:r>
      <w:r>
        <w:t xml:space="preserve"> </w:t>
      </w:r>
      <w:r w:rsidRPr="0020329B">
        <w:t>savoir :</w:t>
      </w:r>
    </w:p>
    <w:p w14:paraId="387C7E1C" w14:textId="77777777" w:rsidR="00903EBA" w:rsidRDefault="00903EBA" w:rsidP="00DA4183">
      <w:pPr>
        <w:pStyle w:val="Paragraphedeliste"/>
        <w:numPr>
          <w:ilvl w:val="0"/>
          <w:numId w:val="19"/>
        </w:numPr>
        <w:jc w:val="both"/>
      </w:pPr>
      <w:r w:rsidRPr="0020329B">
        <w:t>un enregistrement préalable de l’étude auprès du</w:t>
      </w:r>
      <w:r>
        <w:t xml:space="preserve"> </w:t>
      </w:r>
      <w:proofErr w:type="spellStart"/>
      <w:r w:rsidRPr="0020329B">
        <w:t>Health</w:t>
      </w:r>
      <w:proofErr w:type="spellEnd"/>
      <w:r w:rsidRPr="0020329B">
        <w:t xml:space="preserve"> Data Hub </w:t>
      </w:r>
      <w:r>
        <w:t>– de la Plateforme de données de Santé (HDH)</w:t>
      </w:r>
      <w:r w:rsidRPr="00960347">
        <w:rPr>
          <w:rFonts w:ascii="Cambria" w:hAnsi="Cambria" w:cs="Cambria"/>
        </w:rPr>
        <w:t> </w:t>
      </w:r>
      <w:r>
        <w:t>;</w:t>
      </w:r>
    </w:p>
    <w:p w14:paraId="1AFEB9E3" w14:textId="77777777" w:rsidR="00903EBA" w:rsidRDefault="00903EBA" w:rsidP="00DA4183">
      <w:pPr>
        <w:pStyle w:val="Paragraphedeliste"/>
        <w:numPr>
          <w:ilvl w:val="0"/>
          <w:numId w:val="19"/>
        </w:numPr>
        <w:jc w:val="both"/>
      </w:pPr>
      <w:r>
        <w:t>à la fi</w:t>
      </w:r>
      <w:r w:rsidRPr="0020329B">
        <w:t>n de l’étude, la méthode et les résultats obtenus seront être communiqués</w:t>
      </w:r>
      <w:r>
        <w:t xml:space="preserve"> </w:t>
      </w:r>
      <w:r w:rsidRPr="0020329B">
        <w:t>au HDH en vue de leur publication par ce dernier selon des</w:t>
      </w:r>
      <w:r>
        <w:t xml:space="preserve"> modalités défi</w:t>
      </w:r>
      <w:r w:rsidRPr="0020329B">
        <w:t>nies par ses soins.</w:t>
      </w:r>
    </w:p>
    <w:p w14:paraId="27A8CC39" w14:textId="77777777" w:rsidR="00903EBA" w:rsidRDefault="00903EBA" w:rsidP="008D6650">
      <w:pPr>
        <w:jc w:val="both"/>
      </w:pPr>
    </w:p>
    <w:p w14:paraId="2CE371F9" w14:textId="2900030F" w:rsidR="001940D6" w:rsidRDefault="001940D6" w:rsidP="001940D6">
      <w:pPr>
        <w:jc w:val="both"/>
      </w:pPr>
      <w:r w:rsidRPr="006844AD">
        <w:rPr>
          <w:highlight w:val="yellow"/>
        </w:rPr>
        <w:t xml:space="preserve">Si passage au </w:t>
      </w:r>
      <w:proofErr w:type="spellStart"/>
      <w:r w:rsidRPr="006844AD">
        <w:rPr>
          <w:highlight w:val="yellow"/>
        </w:rPr>
        <w:t>Cesrees</w:t>
      </w:r>
      <w:proofErr w:type="spellEnd"/>
      <w:r w:rsidRPr="006844AD">
        <w:rPr>
          <w:highlight w:val="yellow"/>
        </w:rPr>
        <w:t xml:space="preserve"> et à la Cnil </w:t>
      </w:r>
      <w:r w:rsidR="00903EBA">
        <w:rPr>
          <w:highlight w:val="yellow"/>
        </w:rPr>
        <w:t xml:space="preserve">et portant sur les données du SNDS de la PDC </w:t>
      </w:r>
      <w:r w:rsidRPr="006844AD">
        <w:rPr>
          <w:highlight w:val="yellow"/>
        </w:rPr>
        <w:t>(sinon paragraphe à supprimer)</w:t>
      </w:r>
    </w:p>
    <w:p w14:paraId="7FE5E8EB" w14:textId="0894132D" w:rsidR="001940D6" w:rsidRDefault="001940D6" w:rsidP="008D6650">
      <w:pPr>
        <w:jc w:val="both"/>
      </w:pPr>
      <w:r>
        <w:t>L’étude étant menée sur des données issues du SNDS, les obligations de transparence prévues à l’article L.1461-3 du Code de la santé s’appliquent, à savoir :</w:t>
      </w:r>
    </w:p>
    <w:p w14:paraId="66F76B66" w14:textId="77777777" w:rsidR="009A2A99" w:rsidRDefault="009A2A99" w:rsidP="00DA4183">
      <w:pPr>
        <w:pStyle w:val="Paragraphedeliste"/>
        <w:numPr>
          <w:ilvl w:val="0"/>
          <w:numId w:val="19"/>
        </w:numPr>
        <w:jc w:val="both"/>
      </w:pPr>
      <w:r w:rsidRPr="0020329B">
        <w:t>un enregistrement préalable de l’étude auprès du</w:t>
      </w:r>
      <w:r>
        <w:t xml:space="preserve"> </w:t>
      </w:r>
      <w:proofErr w:type="spellStart"/>
      <w:r w:rsidRPr="0020329B">
        <w:t>Health</w:t>
      </w:r>
      <w:proofErr w:type="spellEnd"/>
      <w:r w:rsidRPr="0020329B">
        <w:t xml:space="preserve"> Data Hub </w:t>
      </w:r>
      <w:r>
        <w:t>– de la Plateforme de données de Santé (HDH)</w:t>
      </w:r>
      <w:r w:rsidRPr="00960347">
        <w:rPr>
          <w:rFonts w:ascii="Cambria" w:hAnsi="Cambria" w:cs="Cambria"/>
        </w:rPr>
        <w:t> </w:t>
      </w:r>
      <w:r>
        <w:t>;</w:t>
      </w:r>
    </w:p>
    <w:p w14:paraId="3CE01C7E" w14:textId="77777777" w:rsidR="009A2A99" w:rsidRDefault="009A2A99" w:rsidP="00DA4183">
      <w:pPr>
        <w:pStyle w:val="Paragraphedeliste"/>
        <w:numPr>
          <w:ilvl w:val="0"/>
          <w:numId w:val="19"/>
        </w:numPr>
        <w:jc w:val="both"/>
      </w:pPr>
      <w:r>
        <w:t>à la fi</w:t>
      </w:r>
      <w:r w:rsidRPr="0020329B">
        <w:t>n de l’étude, la méthode et les résultats obtenus seront être communiqués</w:t>
      </w:r>
      <w:r>
        <w:t xml:space="preserve"> </w:t>
      </w:r>
      <w:r w:rsidRPr="0020329B">
        <w:t>au HDH en vue de leur publication par ce dernier selon des</w:t>
      </w:r>
      <w:r>
        <w:t xml:space="preserve"> modalités défi</w:t>
      </w:r>
      <w:r w:rsidRPr="0020329B">
        <w:t>nies par ses soins.</w:t>
      </w:r>
    </w:p>
    <w:p w14:paraId="7CB1F1F3" w14:textId="77777777" w:rsidR="009A2A99" w:rsidRPr="002D149D" w:rsidRDefault="009A2A99" w:rsidP="008D6650">
      <w:pPr>
        <w:jc w:val="both"/>
        <w:rPr>
          <w:highlight w:val="yellow"/>
        </w:rPr>
      </w:pPr>
      <w:r w:rsidRPr="002D149D">
        <w:rPr>
          <w:highlight w:val="yellow"/>
        </w:rPr>
        <w:t xml:space="preserve">L‘étude étant conjointement réalisée, toutes les publications feront référence à l’étude XXX (REF° et à la plateforme de données en cancérologie (REF = celle Bousquet PJ). </w:t>
      </w:r>
    </w:p>
    <w:p w14:paraId="519BF1DC" w14:textId="77777777" w:rsidR="009A2A99" w:rsidRPr="004D2B2A" w:rsidRDefault="009A2A99" w:rsidP="008D6650">
      <w:pPr>
        <w:jc w:val="both"/>
      </w:pPr>
      <w:r w:rsidRPr="002D149D">
        <w:rPr>
          <w:highlight w:val="yellow"/>
        </w:rPr>
        <w:t>Les règles de publications suivront les normes dites de Vancouver, en veillant à associer l’ensemble des équipes participant au projet.</w:t>
      </w:r>
    </w:p>
    <w:p w14:paraId="669A650E" w14:textId="77777777" w:rsidR="00B54C8C" w:rsidRPr="002D149D" w:rsidRDefault="00B54C8C" w:rsidP="008D6650">
      <w:pPr>
        <w:jc w:val="both"/>
      </w:pPr>
    </w:p>
    <w:p w14:paraId="4C23A5A6" w14:textId="77777777" w:rsidR="004D2B2A" w:rsidRDefault="004D2B2A" w:rsidP="008D6650">
      <w:pPr>
        <w:pStyle w:val="Titre1"/>
        <w:jc w:val="both"/>
      </w:pPr>
      <w:bookmarkStart w:id="33" w:name="_Toc161759382"/>
      <w:r>
        <w:t>T</w:t>
      </w:r>
      <w:r w:rsidR="004669DE">
        <w:t>ype</w:t>
      </w:r>
      <w:r>
        <w:t xml:space="preserve"> d’étude</w:t>
      </w:r>
      <w:bookmarkEnd w:id="33"/>
    </w:p>
    <w:p w14:paraId="0E96A9CC" w14:textId="77777777" w:rsidR="004D2B2A" w:rsidRPr="002D149D" w:rsidRDefault="004D2B2A" w:rsidP="008D6650">
      <w:pPr>
        <w:jc w:val="both"/>
        <w:rPr>
          <w:i/>
          <w:iCs/>
        </w:rPr>
      </w:pPr>
      <w:r w:rsidRPr="002D149D">
        <w:rPr>
          <w:i/>
          <w:iCs/>
          <w:highlight w:val="yellow"/>
        </w:rPr>
        <w:t xml:space="preserve">À compléter par </w:t>
      </w:r>
      <w:r w:rsidR="004823EC" w:rsidRPr="002D149D">
        <w:rPr>
          <w:i/>
          <w:iCs/>
          <w:highlight w:val="yellow"/>
        </w:rPr>
        <w:t>le partenaire</w:t>
      </w:r>
    </w:p>
    <w:p w14:paraId="44FCBE71" w14:textId="77777777" w:rsidR="004D2B2A" w:rsidRDefault="004D2B2A" w:rsidP="008D6650">
      <w:pPr>
        <w:jc w:val="both"/>
      </w:pPr>
    </w:p>
    <w:p w14:paraId="2F22CBE5" w14:textId="77777777" w:rsidR="00F43796" w:rsidRDefault="00F43796" w:rsidP="008D6650">
      <w:pPr>
        <w:pStyle w:val="Titre1"/>
        <w:jc w:val="both"/>
      </w:pPr>
      <w:bookmarkStart w:id="34" w:name="_Toc161759383"/>
      <w:r>
        <w:t xml:space="preserve">Population </w:t>
      </w:r>
      <w:r w:rsidR="001E30EF">
        <w:t>concern</w:t>
      </w:r>
      <w:r>
        <w:t>ée</w:t>
      </w:r>
      <w:r w:rsidR="00EC43EB">
        <w:t xml:space="preserve"> ou Cohorte</w:t>
      </w:r>
      <w:bookmarkEnd w:id="34"/>
    </w:p>
    <w:p w14:paraId="64F4D7AC" w14:textId="77777777" w:rsidR="00C301D4" w:rsidRDefault="00C301D4" w:rsidP="008D6650">
      <w:pPr>
        <w:jc w:val="both"/>
        <w:rPr>
          <w:i/>
        </w:rPr>
      </w:pPr>
      <w:r w:rsidRPr="006A5130">
        <w:rPr>
          <w:i/>
          <w:highlight w:val="yellow"/>
        </w:rPr>
        <w:t xml:space="preserve">À compléter </w:t>
      </w:r>
      <w:r>
        <w:rPr>
          <w:i/>
          <w:highlight w:val="yellow"/>
        </w:rPr>
        <w:t xml:space="preserve">par </w:t>
      </w:r>
      <w:r w:rsidR="004823EC">
        <w:rPr>
          <w:i/>
          <w:highlight w:val="yellow"/>
        </w:rPr>
        <w:t>le partenaire</w:t>
      </w:r>
    </w:p>
    <w:p w14:paraId="2002C644" w14:textId="77777777" w:rsidR="00CD3D2E" w:rsidRPr="00CD3D2E" w:rsidRDefault="00CD3D2E" w:rsidP="008D6650">
      <w:pPr>
        <w:jc w:val="both"/>
        <w:rPr>
          <w:i/>
          <w:highlight w:val="yellow"/>
        </w:rPr>
      </w:pPr>
      <w:r w:rsidRPr="00CD3D2E">
        <w:rPr>
          <w:i/>
          <w:highlight w:val="yellow"/>
        </w:rPr>
        <w:t>Prendre en compte les notions de périodes (cf. consignes en début de document)</w:t>
      </w:r>
    </w:p>
    <w:p w14:paraId="257CDDF2" w14:textId="77777777" w:rsidR="00CD3D2E" w:rsidRDefault="00CD3D2E" w:rsidP="008D6650">
      <w:pPr>
        <w:jc w:val="both"/>
        <w:rPr>
          <w:i/>
        </w:rPr>
      </w:pPr>
      <w:r w:rsidRPr="00CD3D2E">
        <w:rPr>
          <w:i/>
          <w:highlight w:val="yellow"/>
        </w:rPr>
        <w:t>Dans le cas d’étude avec des objectifs multiples, s’assurer que pour chacun des objectifs les points suivant</w:t>
      </w:r>
      <w:r>
        <w:rPr>
          <w:i/>
          <w:highlight w:val="yellow"/>
        </w:rPr>
        <w:t>s</w:t>
      </w:r>
      <w:r w:rsidRPr="00CD3D2E">
        <w:rPr>
          <w:i/>
          <w:highlight w:val="yellow"/>
        </w:rPr>
        <w:t xml:space="preserve"> sont valables (faire plusieurs sections si nécessaires)</w:t>
      </w:r>
    </w:p>
    <w:tbl>
      <w:tblPr>
        <w:tblStyle w:val="Grilledutableau"/>
        <w:tblW w:w="0" w:type="auto"/>
        <w:tblLook w:val="04A0" w:firstRow="1" w:lastRow="0" w:firstColumn="1" w:lastColumn="0" w:noHBand="0" w:noVBand="1"/>
      </w:tblPr>
      <w:tblGrid>
        <w:gridCol w:w="3397"/>
        <w:gridCol w:w="5665"/>
      </w:tblGrid>
      <w:tr w:rsidR="00EF3D95" w14:paraId="7F887654" w14:textId="77777777" w:rsidTr="009D6957">
        <w:tc>
          <w:tcPr>
            <w:tcW w:w="3397" w:type="dxa"/>
            <w:tcBorders>
              <w:top w:val="single" w:sz="4" w:space="0" w:color="auto"/>
              <w:left w:val="single" w:sz="4" w:space="0" w:color="auto"/>
              <w:bottom w:val="single" w:sz="4" w:space="0" w:color="auto"/>
              <w:right w:val="single" w:sz="4" w:space="0" w:color="auto"/>
            </w:tcBorders>
            <w:vAlign w:val="center"/>
            <w:hideMark/>
          </w:tcPr>
          <w:p w14:paraId="425B4C14" w14:textId="77777777" w:rsidR="00EF3D95" w:rsidRDefault="00EF3D95" w:rsidP="008D6650">
            <w:pPr>
              <w:spacing w:after="0"/>
              <w:jc w:val="both"/>
            </w:pPr>
            <w:r>
              <w:t xml:space="preserve">Période d’inclusion (ou de ciblage) </w:t>
            </w:r>
          </w:p>
        </w:tc>
        <w:tc>
          <w:tcPr>
            <w:tcW w:w="5665" w:type="dxa"/>
            <w:tcBorders>
              <w:top w:val="single" w:sz="4" w:space="0" w:color="auto"/>
              <w:left w:val="single" w:sz="4" w:space="0" w:color="auto"/>
              <w:bottom w:val="single" w:sz="4" w:space="0" w:color="auto"/>
              <w:right w:val="single" w:sz="4" w:space="0" w:color="auto"/>
            </w:tcBorders>
            <w:vAlign w:val="center"/>
            <w:hideMark/>
          </w:tcPr>
          <w:p w14:paraId="438279D3" w14:textId="77777777" w:rsidR="00EF3D95" w:rsidRDefault="00EF3D95" w:rsidP="008D6650">
            <w:pPr>
              <w:spacing w:after="0"/>
              <w:jc w:val="both"/>
            </w:pPr>
            <w:r>
              <w:t xml:space="preserve">Du              au      </w:t>
            </w:r>
          </w:p>
        </w:tc>
      </w:tr>
      <w:tr w:rsidR="009D6957" w14:paraId="1568C6FE" w14:textId="77777777" w:rsidTr="009D6957">
        <w:tc>
          <w:tcPr>
            <w:tcW w:w="3397" w:type="dxa"/>
            <w:tcBorders>
              <w:top w:val="single" w:sz="4" w:space="0" w:color="auto"/>
              <w:left w:val="single" w:sz="4" w:space="0" w:color="auto"/>
              <w:bottom w:val="single" w:sz="4" w:space="0" w:color="auto"/>
              <w:right w:val="single" w:sz="4" w:space="0" w:color="auto"/>
            </w:tcBorders>
            <w:vAlign w:val="center"/>
            <w:hideMark/>
          </w:tcPr>
          <w:p w14:paraId="31307D30" w14:textId="77777777" w:rsidR="009D6957" w:rsidRDefault="009D6957" w:rsidP="008D6650">
            <w:pPr>
              <w:spacing w:after="0"/>
              <w:jc w:val="both"/>
            </w:pPr>
            <w:r>
              <w:t>Période nécessaire à la qualification des critères d’inclusion</w:t>
            </w:r>
          </w:p>
        </w:tc>
        <w:tc>
          <w:tcPr>
            <w:tcW w:w="5665" w:type="dxa"/>
            <w:tcBorders>
              <w:top w:val="single" w:sz="4" w:space="0" w:color="auto"/>
              <w:left w:val="single" w:sz="4" w:space="0" w:color="auto"/>
              <w:bottom w:val="single" w:sz="4" w:space="0" w:color="auto"/>
              <w:right w:val="single" w:sz="4" w:space="0" w:color="auto"/>
            </w:tcBorders>
            <w:vAlign w:val="center"/>
            <w:hideMark/>
          </w:tcPr>
          <w:p w14:paraId="2C3F59E7" w14:textId="77777777" w:rsidR="009D6957" w:rsidRDefault="009D6957" w:rsidP="008D6650">
            <w:pPr>
              <w:spacing w:after="0"/>
              <w:jc w:val="both"/>
            </w:pPr>
            <w:r w:rsidRPr="001659F7">
              <w:t xml:space="preserve">Du              au      </w:t>
            </w:r>
          </w:p>
        </w:tc>
      </w:tr>
      <w:tr w:rsidR="009D6957" w14:paraId="7F22ABC6" w14:textId="77777777" w:rsidTr="009D6957">
        <w:tc>
          <w:tcPr>
            <w:tcW w:w="3397" w:type="dxa"/>
            <w:tcBorders>
              <w:top w:val="single" w:sz="4" w:space="0" w:color="auto"/>
              <w:left w:val="single" w:sz="4" w:space="0" w:color="auto"/>
              <w:bottom w:val="single" w:sz="4" w:space="0" w:color="auto"/>
              <w:right w:val="single" w:sz="4" w:space="0" w:color="auto"/>
            </w:tcBorders>
            <w:vAlign w:val="center"/>
            <w:hideMark/>
          </w:tcPr>
          <w:p w14:paraId="6FA6AA1B" w14:textId="77777777" w:rsidR="009D6957" w:rsidRDefault="009D6957" w:rsidP="008D6650">
            <w:pPr>
              <w:spacing w:after="0"/>
              <w:jc w:val="both"/>
            </w:pPr>
            <w:r>
              <w:t xml:space="preserve">Période de suivi </w:t>
            </w:r>
          </w:p>
        </w:tc>
        <w:tc>
          <w:tcPr>
            <w:tcW w:w="5665" w:type="dxa"/>
            <w:tcBorders>
              <w:top w:val="single" w:sz="4" w:space="0" w:color="auto"/>
              <w:left w:val="single" w:sz="4" w:space="0" w:color="auto"/>
              <w:bottom w:val="single" w:sz="4" w:space="0" w:color="auto"/>
              <w:right w:val="single" w:sz="4" w:space="0" w:color="auto"/>
            </w:tcBorders>
            <w:vAlign w:val="center"/>
            <w:hideMark/>
          </w:tcPr>
          <w:p w14:paraId="67D8B19C" w14:textId="77777777" w:rsidR="009D6957" w:rsidRDefault="009D6957" w:rsidP="008D6650">
            <w:pPr>
              <w:spacing w:after="0"/>
              <w:jc w:val="both"/>
            </w:pPr>
            <w:r w:rsidRPr="001659F7">
              <w:t xml:space="preserve">Du              au      </w:t>
            </w:r>
          </w:p>
        </w:tc>
      </w:tr>
      <w:tr w:rsidR="009D6957" w14:paraId="5CFE9B1D" w14:textId="77777777" w:rsidTr="009D6957">
        <w:tc>
          <w:tcPr>
            <w:tcW w:w="3397" w:type="dxa"/>
            <w:tcBorders>
              <w:top w:val="single" w:sz="4" w:space="0" w:color="auto"/>
              <w:left w:val="single" w:sz="4" w:space="0" w:color="auto"/>
              <w:bottom w:val="single" w:sz="4" w:space="0" w:color="auto"/>
              <w:right w:val="single" w:sz="4" w:space="0" w:color="auto"/>
            </w:tcBorders>
            <w:vAlign w:val="center"/>
          </w:tcPr>
          <w:p w14:paraId="7024BFAA" w14:textId="77777777" w:rsidR="009D6957" w:rsidRDefault="009D6957" w:rsidP="008D6650">
            <w:pPr>
              <w:spacing w:after="0"/>
              <w:jc w:val="both"/>
            </w:pPr>
            <w:r>
              <w:t xml:space="preserve">Période nécessaire à la qualification de </w:t>
            </w:r>
            <w:proofErr w:type="spellStart"/>
            <w:r>
              <w:t>co-facteurs</w:t>
            </w:r>
            <w:proofErr w:type="spellEnd"/>
            <w:r>
              <w:t xml:space="preserve"> et des critères de suivi</w:t>
            </w:r>
          </w:p>
        </w:tc>
        <w:tc>
          <w:tcPr>
            <w:tcW w:w="5665" w:type="dxa"/>
            <w:tcBorders>
              <w:top w:val="single" w:sz="4" w:space="0" w:color="auto"/>
              <w:left w:val="single" w:sz="4" w:space="0" w:color="auto"/>
              <w:bottom w:val="single" w:sz="4" w:space="0" w:color="auto"/>
              <w:right w:val="single" w:sz="4" w:space="0" w:color="auto"/>
            </w:tcBorders>
            <w:vAlign w:val="center"/>
          </w:tcPr>
          <w:p w14:paraId="4CD9DCF6" w14:textId="77777777" w:rsidR="009D6957" w:rsidRDefault="009D6957" w:rsidP="008D6650">
            <w:pPr>
              <w:spacing w:after="0"/>
              <w:jc w:val="both"/>
            </w:pPr>
            <w:r w:rsidRPr="001659F7">
              <w:t xml:space="preserve">Du              au      </w:t>
            </w:r>
          </w:p>
        </w:tc>
      </w:tr>
      <w:tr w:rsidR="009D6957" w14:paraId="3324FDBD" w14:textId="77777777" w:rsidTr="009D6957">
        <w:tc>
          <w:tcPr>
            <w:tcW w:w="3397" w:type="dxa"/>
            <w:tcBorders>
              <w:top w:val="single" w:sz="4" w:space="0" w:color="auto"/>
              <w:left w:val="single" w:sz="4" w:space="0" w:color="auto"/>
              <w:bottom w:val="single" w:sz="4" w:space="0" w:color="auto"/>
              <w:right w:val="single" w:sz="4" w:space="0" w:color="auto"/>
            </w:tcBorders>
            <w:vAlign w:val="center"/>
            <w:hideMark/>
          </w:tcPr>
          <w:p w14:paraId="2E9187E5" w14:textId="77777777" w:rsidR="009D6957" w:rsidRDefault="009D6957" w:rsidP="000B673F">
            <w:pPr>
              <w:spacing w:after="0"/>
              <w:jc w:val="both"/>
            </w:pPr>
            <w:r>
              <w:t>Période d’extraction des données</w:t>
            </w:r>
          </w:p>
        </w:tc>
        <w:tc>
          <w:tcPr>
            <w:tcW w:w="5665" w:type="dxa"/>
            <w:tcBorders>
              <w:top w:val="single" w:sz="4" w:space="0" w:color="auto"/>
              <w:left w:val="single" w:sz="4" w:space="0" w:color="auto"/>
              <w:bottom w:val="single" w:sz="4" w:space="0" w:color="auto"/>
              <w:right w:val="single" w:sz="4" w:space="0" w:color="auto"/>
            </w:tcBorders>
            <w:vAlign w:val="center"/>
            <w:hideMark/>
          </w:tcPr>
          <w:p w14:paraId="2017264C" w14:textId="77777777" w:rsidR="009D6957" w:rsidRDefault="009D6957" w:rsidP="008D6650">
            <w:pPr>
              <w:spacing w:after="0"/>
              <w:jc w:val="both"/>
            </w:pPr>
            <w:r w:rsidRPr="001659F7">
              <w:t xml:space="preserve">Du              au      </w:t>
            </w:r>
          </w:p>
        </w:tc>
      </w:tr>
    </w:tbl>
    <w:p w14:paraId="2D27041E" w14:textId="77777777" w:rsidR="00EF3D95" w:rsidRPr="00C301D4" w:rsidRDefault="00EF3D95" w:rsidP="008D6650">
      <w:pPr>
        <w:jc w:val="both"/>
      </w:pPr>
    </w:p>
    <w:p w14:paraId="4CD5BF2D" w14:textId="77777777" w:rsidR="009030D2" w:rsidRDefault="009030D2" w:rsidP="008D6650">
      <w:pPr>
        <w:pStyle w:val="Titre2"/>
        <w:jc w:val="both"/>
      </w:pPr>
      <w:bookmarkStart w:id="35" w:name="_Toc161759384"/>
      <w:r>
        <w:t>Description de</w:t>
      </w:r>
      <w:r w:rsidR="00EC43EB">
        <w:t xml:space="preserve"> la population </w:t>
      </w:r>
      <w:r>
        <w:t>concernés par l’étude</w:t>
      </w:r>
      <w:bookmarkEnd w:id="35"/>
    </w:p>
    <w:p w14:paraId="3F13F7BE" w14:textId="77777777" w:rsidR="005E0B92" w:rsidRPr="005E0B92" w:rsidRDefault="005E0B92" w:rsidP="008D6650">
      <w:pPr>
        <w:jc w:val="both"/>
        <w:rPr>
          <w:i/>
        </w:rPr>
      </w:pPr>
      <w:r w:rsidRPr="005E0B92">
        <w:rPr>
          <w:i/>
          <w:highlight w:val="yellow"/>
        </w:rPr>
        <w:t>A compléter par le partenaire : Si plusieurs sources de données sont mobilisées, préciser la ou les sources qui serviront pour l’identification des personnes et faire un renvoi vers la section correspondant aux sources de données</w:t>
      </w:r>
    </w:p>
    <w:p w14:paraId="7C13F80E" w14:textId="77777777" w:rsidR="00F43796" w:rsidRPr="00D06410" w:rsidRDefault="00F43796" w:rsidP="008D6650">
      <w:pPr>
        <w:pStyle w:val="Titre3"/>
        <w:jc w:val="both"/>
      </w:pPr>
      <w:bookmarkStart w:id="36" w:name="_Toc161759385"/>
      <w:r w:rsidRPr="00D06410">
        <w:t>Critères d’inclusion</w:t>
      </w:r>
      <w:bookmarkEnd w:id="36"/>
    </w:p>
    <w:p w14:paraId="25202E98" w14:textId="77777777" w:rsidR="00D06410" w:rsidRPr="00831118" w:rsidRDefault="00831118" w:rsidP="008D6650">
      <w:pPr>
        <w:jc w:val="both"/>
        <w:rPr>
          <w:i/>
          <w:highlight w:val="yellow"/>
        </w:rPr>
      </w:pPr>
      <w:r w:rsidRPr="00831118">
        <w:rPr>
          <w:i/>
          <w:highlight w:val="yellow"/>
        </w:rPr>
        <w:t>Préciser âge et régime de protection sociale</w:t>
      </w:r>
    </w:p>
    <w:p w14:paraId="5EA83A49" w14:textId="77777777" w:rsidR="00BE4247" w:rsidRPr="00D06410" w:rsidRDefault="009030D2" w:rsidP="008D6650">
      <w:pPr>
        <w:pStyle w:val="Titre3"/>
        <w:jc w:val="both"/>
      </w:pPr>
      <w:bookmarkStart w:id="37" w:name="_Toc161759386"/>
      <w:r w:rsidRPr="00D06410">
        <w:t>Critères de non in</w:t>
      </w:r>
      <w:r w:rsidR="00F43796" w:rsidRPr="00D06410">
        <w:t>clusion</w:t>
      </w:r>
      <w:bookmarkEnd w:id="37"/>
    </w:p>
    <w:p w14:paraId="76D0DDC7" w14:textId="77777777" w:rsidR="00D06410" w:rsidRPr="00D3523D" w:rsidRDefault="00D06410" w:rsidP="008D6650">
      <w:pPr>
        <w:jc w:val="both"/>
      </w:pPr>
    </w:p>
    <w:p w14:paraId="45D924A3" w14:textId="77777777" w:rsidR="009030D2" w:rsidRPr="00D06410" w:rsidRDefault="009030D2" w:rsidP="008D6650">
      <w:pPr>
        <w:pStyle w:val="Titre3"/>
        <w:jc w:val="both"/>
      </w:pPr>
      <w:bookmarkStart w:id="38" w:name="_Toc161759387"/>
      <w:r w:rsidRPr="00D06410">
        <w:t>Critères d’exclusion</w:t>
      </w:r>
      <w:bookmarkEnd w:id="38"/>
    </w:p>
    <w:p w14:paraId="365F591B" w14:textId="77777777" w:rsidR="00D06410" w:rsidRPr="00D3523D" w:rsidRDefault="00D06410" w:rsidP="008D6650">
      <w:pPr>
        <w:jc w:val="both"/>
      </w:pPr>
    </w:p>
    <w:p w14:paraId="02EA3D20" w14:textId="77777777" w:rsidR="007371AA" w:rsidRDefault="009A2A99" w:rsidP="008D6650">
      <w:pPr>
        <w:pStyle w:val="Titre2"/>
        <w:jc w:val="both"/>
      </w:pPr>
      <w:bookmarkStart w:id="39" w:name="_Toc161759388"/>
      <w:r>
        <w:t xml:space="preserve">Taille de la population – </w:t>
      </w:r>
      <w:r w:rsidR="007371AA">
        <w:t>Nombre de sujets nécessaires</w:t>
      </w:r>
      <w:r w:rsidR="00CB11EF">
        <w:t xml:space="preserve"> – Effectifs prévisionnels</w:t>
      </w:r>
      <w:bookmarkEnd w:id="39"/>
    </w:p>
    <w:p w14:paraId="6F379FB5" w14:textId="557A01EB" w:rsidR="009030D2" w:rsidRPr="002D149D" w:rsidRDefault="00FC4472" w:rsidP="008D6650">
      <w:pPr>
        <w:jc w:val="both"/>
        <w:rPr>
          <w:i/>
          <w:iCs/>
        </w:rPr>
      </w:pPr>
      <w:r w:rsidRPr="002D149D">
        <w:rPr>
          <w:i/>
          <w:iCs/>
          <w:highlight w:val="yellow"/>
        </w:rPr>
        <w:t xml:space="preserve">Rédaction conjointe </w:t>
      </w:r>
      <w:r w:rsidR="00903EBA">
        <w:rPr>
          <w:i/>
          <w:iCs/>
          <w:highlight w:val="yellow"/>
        </w:rPr>
        <w:t>Institut</w:t>
      </w:r>
      <w:r w:rsidRPr="002D149D">
        <w:rPr>
          <w:i/>
          <w:iCs/>
          <w:highlight w:val="yellow"/>
        </w:rPr>
        <w:t>/</w:t>
      </w:r>
      <w:r w:rsidR="004823EC" w:rsidRPr="002D149D">
        <w:rPr>
          <w:i/>
          <w:iCs/>
          <w:highlight w:val="yellow"/>
        </w:rPr>
        <w:t>partenaire</w:t>
      </w:r>
      <w:r w:rsidRPr="002D149D">
        <w:rPr>
          <w:rFonts w:ascii="Cambria" w:hAnsi="Cambria" w:cs="Cambria"/>
          <w:i/>
          <w:iCs/>
          <w:highlight w:val="yellow"/>
        </w:rPr>
        <w:t> </w:t>
      </w:r>
      <w:r w:rsidRPr="002D149D">
        <w:rPr>
          <w:i/>
          <w:iCs/>
          <w:highlight w:val="yellow"/>
        </w:rPr>
        <w:t>: Si l’étude est basée sur une hypothèse, préciser le nombre de personnes, s’il s’agit d’un échantillonnage, indiquer le nombre de personnes et le taux d’échantillonnage, si l’étude est exhaustive, indiquer le nombre de personnes ciblées.</w:t>
      </w:r>
    </w:p>
    <w:p w14:paraId="43F6CD9B" w14:textId="77777777" w:rsidR="00FC4472" w:rsidRDefault="00FC4472" w:rsidP="008D6650">
      <w:pPr>
        <w:jc w:val="both"/>
      </w:pPr>
    </w:p>
    <w:p w14:paraId="6E3A7E9C" w14:textId="77777777" w:rsidR="00FC4D7A" w:rsidRPr="008D05A6" w:rsidRDefault="00FC4D7A" w:rsidP="008D6650">
      <w:pPr>
        <w:pStyle w:val="Titre1"/>
        <w:jc w:val="both"/>
      </w:pPr>
      <w:bookmarkStart w:id="40" w:name="_Toc161759389"/>
      <w:r w:rsidRPr="008D05A6">
        <w:t>Gestion des données</w:t>
      </w:r>
      <w:bookmarkEnd w:id="40"/>
    </w:p>
    <w:p w14:paraId="55181591" w14:textId="0FDC8253" w:rsidR="00C301D4" w:rsidRPr="002D149D" w:rsidRDefault="00C301D4" w:rsidP="008D6650">
      <w:pPr>
        <w:jc w:val="both"/>
        <w:rPr>
          <w:i/>
          <w:iCs/>
        </w:rPr>
      </w:pPr>
      <w:r w:rsidRPr="002D149D">
        <w:rPr>
          <w:i/>
          <w:iCs/>
          <w:highlight w:val="yellow"/>
        </w:rPr>
        <w:t>Rédigé par l’</w:t>
      </w:r>
      <w:r w:rsidR="00903EBA">
        <w:rPr>
          <w:i/>
          <w:iCs/>
          <w:highlight w:val="yellow"/>
        </w:rPr>
        <w:t>Institut</w:t>
      </w:r>
      <w:r w:rsidR="002D149D" w:rsidRPr="002D149D">
        <w:rPr>
          <w:i/>
          <w:iCs/>
          <w:highlight w:val="yellow"/>
        </w:rPr>
        <w:t xml:space="preserve"> si uniquement plateforme de données en cancérologie</w:t>
      </w:r>
      <w:r w:rsidR="002D149D" w:rsidRPr="002D149D">
        <w:rPr>
          <w:rFonts w:ascii="Cambria" w:hAnsi="Cambria" w:cs="Cambria"/>
          <w:i/>
          <w:iCs/>
          <w:highlight w:val="yellow"/>
        </w:rPr>
        <w:t> </w:t>
      </w:r>
      <w:r w:rsidR="002D149D" w:rsidRPr="002D149D">
        <w:rPr>
          <w:i/>
          <w:iCs/>
          <w:highlight w:val="yellow"/>
        </w:rPr>
        <w:t>; sinon préciser les sources complémentaires.</w:t>
      </w:r>
    </w:p>
    <w:p w14:paraId="18002EED" w14:textId="77777777" w:rsidR="00E863DD" w:rsidRPr="003C71B8" w:rsidRDefault="004D2B2A" w:rsidP="008D6650">
      <w:pPr>
        <w:pStyle w:val="Titre2"/>
        <w:jc w:val="both"/>
      </w:pPr>
      <w:bookmarkStart w:id="41" w:name="_Toc161759390"/>
      <w:r w:rsidRPr="003C71B8">
        <w:t>Origine des données de santé à caractère personnel</w:t>
      </w:r>
      <w:r w:rsidR="00EC43EB" w:rsidRPr="003C71B8">
        <w:t xml:space="preserve"> (Source des données)</w:t>
      </w:r>
      <w:bookmarkEnd w:id="41"/>
    </w:p>
    <w:p w14:paraId="5A14E601" w14:textId="77777777" w:rsidR="005E0B92" w:rsidRDefault="005E0B92" w:rsidP="008D6650">
      <w:pPr>
        <w:jc w:val="both"/>
        <w:rPr>
          <w:i/>
        </w:rPr>
      </w:pPr>
      <w:r w:rsidRPr="002D149D">
        <w:rPr>
          <w:i/>
          <w:highlight w:val="yellow"/>
        </w:rPr>
        <w:t>Préciser toutes les sources et apporter un descriptif par sources. S’assurer que le descriptif se suffise à lui-même pour qu’une personne tierce puisse comprendre quelles sont les données mobilisées et leur provenance. Considérer chaque source indépendamment.</w:t>
      </w:r>
      <w:r>
        <w:rPr>
          <w:i/>
        </w:rPr>
        <w:t xml:space="preserve"> </w:t>
      </w:r>
    </w:p>
    <w:p w14:paraId="6EC89F22" w14:textId="77777777" w:rsidR="005E0B92" w:rsidRPr="005E0B92" w:rsidRDefault="005E0B92" w:rsidP="008D6650">
      <w:pPr>
        <w:pStyle w:val="Titre3"/>
        <w:jc w:val="both"/>
      </w:pPr>
      <w:bookmarkStart w:id="42" w:name="_Toc161759391"/>
      <w:r w:rsidRPr="005E0B92">
        <w:t>« Plateforme des données en cancérologie</w:t>
      </w:r>
      <w:r w:rsidRPr="005E0B92">
        <w:rPr>
          <w:rFonts w:ascii="Cambria" w:hAnsi="Cambria" w:cs="Cambria"/>
        </w:rPr>
        <w:t> </w:t>
      </w:r>
      <w:r w:rsidRPr="005E0B92">
        <w:t>»</w:t>
      </w:r>
      <w:bookmarkEnd w:id="42"/>
    </w:p>
    <w:p w14:paraId="218DD556" w14:textId="77777777" w:rsidR="005E0B92" w:rsidRDefault="005E0B92" w:rsidP="008D6650">
      <w:pPr>
        <w:jc w:val="both"/>
      </w:pPr>
      <w:r>
        <w:t>La plateforme de données en cancérologie est présentée en annexe.</w:t>
      </w:r>
      <w:r w:rsidR="00D3523D">
        <w:t xml:space="preserve"> Elle </w:t>
      </w:r>
      <w:r w:rsidR="0041076B">
        <w:t xml:space="preserve">comprend à ce jour </w:t>
      </w:r>
      <w:r w:rsidR="00D3523D">
        <w:t xml:space="preserve">les données issues du SNDS portant sur des personnes atteintes d’un cancer ou à risque élevé de cancer. Ces données </w:t>
      </w:r>
      <w:r w:rsidR="0041076B">
        <w:t xml:space="preserve">seront </w:t>
      </w:r>
      <w:r w:rsidR="00D3523D">
        <w:t>progressivement complétées par les données issues des registres des cancers</w:t>
      </w:r>
      <w:r w:rsidR="0041076B">
        <w:t>, du dossier communicant de cancérologie</w:t>
      </w:r>
      <w:r w:rsidR="009818DD">
        <w:t>, des résumés de passage aux urgences et</w:t>
      </w:r>
      <w:r w:rsidR="00D3523D">
        <w:t xml:space="preserve"> des dépistages organisés.</w:t>
      </w:r>
      <w:r w:rsidR="009818DD">
        <w:t xml:space="preserve"> Des données issues d’études conduites par les industries de santé pourront également être intégrées à la plateforme de données en cancérologie.</w:t>
      </w:r>
      <w:r w:rsidR="00D3523D">
        <w:t xml:space="preserve"> Les premières personnes ont été incluses en 2010. Chaque personne est suivie pendant 20 ans.</w:t>
      </w:r>
    </w:p>
    <w:p w14:paraId="6A48CE3B" w14:textId="77777777" w:rsidR="00EC43EB" w:rsidRDefault="00EC43EB" w:rsidP="008D6650">
      <w:pPr>
        <w:pStyle w:val="Titre2"/>
        <w:jc w:val="both"/>
      </w:pPr>
      <w:bookmarkStart w:id="43" w:name="_Toc161759393"/>
      <w:bookmarkStart w:id="44" w:name="_Toc314487331"/>
      <w:bookmarkStart w:id="45" w:name="_Toc454883694"/>
      <w:r>
        <w:t>Catégories de données recueillies</w:t>
      </w:r>
      <w:r w:rsidR="008D05A6">
        <w:t xml:space="preserve"> (Ciblage des données pertinentes)</w:t>
      </w:r>
      <w:bookmarkEnd w:id="43"/>
    </w:p>
    <w:p w14:paraId="061C8C5F" w14:textId="77777777" w:rsidR="00EC43EB" w:rsidRPr="00703625" w:rsidRDefault="00EC43EB" w:rsidP="008D6650">
      <w:pPr>
        <w:jc w:val="both"/>
        <w:rPr>
          <w:i/>
        </w:rPr>
      </w:pPr>
      <w:r w:rsidRPr="002D149D">
        <w:rPr>
          <w:i/>
          <w:highlight w:val="yellow"/>
        </w:rPr>
        <w:t>Préciser les informations d’intérêt et supprimer les catégories inutilisées</w:t>
      </w:r>
    </w:p>
    <w:p w14:paraId="1041D150" w14:textId="77777777" w:rsidR="00EC43EB" w:rsidRDefault="00EC43EB" w:rsidP="008D6650">
      <w:pPr>
        <w:jc w:val="both"/>
      </w:pPr>
      <w:r>
        <w:t>Les catégories de données utilisées sont les suivantes</w:t>
      </w:r>
      <w:r>
        <w:rPr>
          <w:rFonts w:ascii="Cambria" w:hAnsi="Cambria" w:cs="Cambria"/>
        </w:rPr>
        <w:t> </w:t>
      </w:r>
      <w:r>
        <w:t>:</w:t>
      </w:r>
    </w:p>
    <w:p w14:paraId="48079166" w14:textId="77777777" w:rsidR="00EC43EB" w:rsidRDefault="00EC43EB" w:rsidP="00DA4183">
      <w:pPr>
        <w:pStyle w:val="Paragraphedeliste"/>
        <w:numPr>
          <w:ilvl w:val="0"/>
          <w:numId w:val="8"/>
        </w:numPr>
        <w:jc w:val="both"/>
      </w:pPr>
      <w:r>
        <w:t>Informations relatives à l’état civil de la personne (sexe, mois et année de naissance)</w:t>
      </w:r>
    </w:p>
    <w:p w14:paraId="6561DDC1" w14:textId="77777777" w:rsidR="0041076B" w:rsidRDefault="0041076B" w:rsidP="00DA4183">
      <w:pPr>
        <w:pStyle w:val="Paragraphedeliste"/>
        <w:numPr>
          <w:ilvl w:val="0"/>
          <w:numId w:val="8"/>
        </w:numPr>
        <w:jc w:val="both"/>
      </w:pPr>
      <w:r>
        <w:t>Informations relatives au statut vital et au décès (mois et années, lieu et causes médicales du décès) ;</w:t>
      </w:r>
    </w:p>
    <w:p w14:paraId="76851DEF" w14:textId="77777777" w:rsidR="00EC43EB" w:rsidRDefault="00EC43EB" w:rsidP="00DA4183">
      <w:pPr>
        <w:pStyle w:val="Paragraphedeliste"/>
        <w:numPr>
          <w:ilvl w:val="0"/>
          <w:numId w:val="8"/>
        </w:numPr>
        <w:jc w:val="both"/>
      </w:pPr>
      <w:r>
        <w:t>Informations relatives au lieu de vie, aux habitudes de vie, à la défavorisation sociale</w:t>
      </w:r>
      <w:r w:rsidR="00442CAB">
        <w:t xml:space="preserve"> (</w:t>
      </w:r>
      <w:r w:rsidR="00F867D7" w:rsidRPr="00F867D7">
        <w:t xml:space="preserve">Indice de </w:t>
      </w:r>
      <w:proofErr w:type="spellStart"/>
      <w:r w:rsidR="00F867D7" w:rsidRPr="00F867D7">
        <w:t>défavorisation</w:t>
      </w:r>
      <w:proofErr w:type="spellEnd"/>
      <w:r w:rsidR="00F867D7" w:rsidRPr="00F867D7">
        <w:t xml:space="preserve"> sociale </w:t>
      </w:r>
      <w:r w:rsidR="00F867D7">
        <w:t xml:space="preserve">- </w:t>
      </w:r>
      <w:proofErr w:type="spellStart"/>
      <w:r w:rsidR="00442CAB">
        <w:t>Fdep</w:t>
      </w:r>
      <w:proofErr w:type="spellEnd"/>
      <w:r w:rsidR="00442CAB">
        <w:t>)</w:t>
      </w:r>
      <w:r>
        <w:t xml:space="preserve"> ou pouvant contribuer à l’étude des inégalités sociales et géographiques et d’ordre économique ;</w:t>
      </w:r>
    </w:p>
    <w:p w14:paraId="6BDA5E72" w14:textId="77777777" w:rsidR="00EC43EB" w:rsidRDefault="00EC43EB" w:rsidP="00DA4183">
      <w:pPr>
        <w:pStyle w:val="Paragraphedeliste"/>
        <w:numPr>
          <w:ilvl w:val="0"/>
          <w:numId w:val="8"/>
        </w:numPr>
        <w:jc w:val="both"/>
      </w:pPr>
      <w:r>
        <w:t>Informations relatives à la vie professionnelle</w:t>
      </w:r>
    </w:p>
    <w:p w14:paraId="336628BC" w14:textId="77777777" w:rsidR="00EC43EB" w:rsidRDefault="00EC43EB" w:rsidP="00DA4183">
      <w:pPr>
        <w:pStyle w:val="Paragraphedeliste"/>
        <w:numPr>
          <w:ilvl w:val="0"/>
          <w:numId w:val="8"/>
        </w:numPr>
        <w:jc w:val="both"/>
      </w:pPr>
      <w:r>
        <w:t>Informations médicales</w:t>
      </w:r>
    </w:p>
    <w:p w14:paraId="71358EBC" w14:textId="77777777" w:rsidR="00EC43EB" w:rsidRDefault="00EC43EB" w:rsidP="00DA4183">
      <w:pPr>
        <w:pStyle w:val="Paragraphedeliste"/>
        <w:numPr>
          <w:ilvl w:val="0"/>
          <w:numId w:val="8"/>
        </w:numPr>
        <w:jc w:val="both"/>
      </w:pPr>
      <w:r>
        <w:t>Informations relatives à des prélèvements biologiques identifiant</w:t>
      </w:r>
      <w:r w:rsidR="0041076B">
        <w:t>s</w:t>
      </w:r>
      <w:r>
        <w:t xml:space="preserve"> (données génétiques)</w:t>
      </w:r>
    </w:p>
    <w:p w14:paraId="2EB1A55A" w14:textId="77777777" w:rsidR="00EC43EB" w:rsidRDefault="00EC43EB" w:rsidP="00DA4183">
      <w:pPr>
        <w:pStyle w:val="Paragraphedeliste"/>
        <w:numPr>
          <w:ilvl w:val="0"/>
          <w:numId w:val="8"/>
        </w:numPr>
        <w:jc w:val="both"/>
      </w:pPr>
      <w:r>
        <w:t>Information médicosociales et médico-économiques relatives au parcours en santé (incluant la prévention, le dépistage, le diagnostic, les soins hospitaliers, les soins de ville, le suivi et l’après cancer);</w:t>
      </w:r>
    </w:p>
    <w:p w14:paraId="70214CA0" w14:textId="77777777" w:rsidR="00EC43EB" w:rsidRDefault="00EC43EB" w:rsidP="00DA4183">
      <w:pPr>
        <w:pStyle w:val="Paragraphedeliste"/>
        <w:numPr>
          <w:ilvl w:val="0"/>
          <w:numId w:val="8"/>
        </w:numPr>
        <w:jc w:val="both"/>
      </w:pPr>
      <w:r>
        <w:t>Informations médico-sociales relatives à la situation des personnes en situation de handicap ;</w:t>
      </w:r>
    </w:p>
    <w:p w14:paraId="48859BA6" w14:textId="77777777" w:rsidR="00EC43EB" w:rsidRDefault="00EC43EB" w:rsidP="00DA4183">
      <w:pPr>
        <w:pStyle w:val="Paragraphedeliste"/>
        <w:numPr>
          <w:ilvl w:val="0"/>
          <w:numId w:val="9"/>
        </w:numPr>
        <w:jc w:val="both"/>
      </w:pPr>
      <w:r>
        <w:t>Informations médico-administratives relatives aux arrêts de travail et aux prestations en espèces, aux organismes d’assurance maladie obligatoire et, s’il y a lieu, aux organismes d’assurance maladie complémentaire intervenant dans la prise en charge financière du bénéficiaire des soins et prestations</w:t>
      </w:r>
    </w:p>
    <w:p w14:paraId="48B0FD28" w14:textId="77777777" w:rsidR="00EC43EB" w:rsidRDefault="00EC43EB" w:rsidP="00DA4183">
      <w:pPr>
        <w:pStyle w:val="Paragraphedeliste"/>
        <w:numPr>
          <w:ilvl w:val="0"/>
          <w:numId w:val="9"/>
        </w:numPr>
        <w:jc w:val="both"/>
      </w:pPr>
      <w:r>
        <w:t>Informations relatives aux professionnels (mois et année de naissance, sexe, lieux, modes d’exercices…) et services de santé et sociaux (type, lieux…) intervenant dans le parcours de santé des personnes.</w:t>
      </w:r>
    </w:p>
    <w:p w14:paraId="48ECB6CE" w14:textId="77777777" w:rsidR="00EC43EB" w:rsidRPr="004143AC" w:rsidRDefault="00EC43EB" w:rsidP="008D6650">
      <w:pPr>
        <w:jc w:val="both"/>
        <w:rPr>
          <w:i/>
        </w:rPr>
      </w:pPr>
      <w:r w:rsidRPr="002D149D">
        <w:rPr>
          <w:i/>
          <w:highlight w:val="yellow"/>
        </w:rPr>
        <w:t>Partie à préciser</w:t>
      </w:r>
    </w:p>
    <w:p w14:paraId="3C2DDD6B" w14:textId="44A884D7" w:rsidR="00EC43EB" w:rsidRPr="00415002" w:rsidRDefault="00EC43EB" w:rsidP="008D6650">
      <w:pPr>
        <w:pStyle w:val="Titre3"/>
        <w:jc w:val="both"/>
      </w:pPr>
      <w:bookmarkStart w:id="46" w:name="_Toc161759394"/>
      <w:r w:rsidRPr="00415002">
        <w:t xml:space="preserve">Justifie l’utilisation de </w:t>
      </w:r>
      <w:r w:rsidR="000B673F">
        <w:t>variables</w:t>
      </w:r>
      <w:r w:rsidR="000B673F" w:rsidRPr="00415002">
        <w:t xml:space="preserve"> </w:t>
      </w:r>
      <w:r w:rsidRPr="00415002">
        <w:t>dites sensibles</w:t>
      </w:r>
      <w:r w:rsidRPr="00415002">
        <w:rPr>
          <w:rFonts w:ascii="Cambria" w:hAnsi="Cambria" w:cs="Cambria"/>
        </w:rPr>
        <w:t> </w:t>
      </w:r>
      <w:r w:rsidRPr="00415002">
        <w:t>:</w:t>
      </w:r>
      <w:bookmarkEnd w:id="46"/>
    </w:p>
    <w:p w14:paraId="469430E1" w14:textId="77777777" w:rsidR="00CE177A" w:rsidRPr="00CE177A" w:rsidRDefault="00CE177A" w:rsidP="008D6650">
      <w:pPr>
        <w:jc w:val="both"/>
        <w:rPr>
          <w:highlight w:val="yellow"/>
        </w:rPr>
      </w:pPr>
      <w:r w:rsidRPr="00CE177A">
        <w:rPr>
          <w:highlight w:val="yellow"/>
        </w:rPr>
        <w:t>Mois, année de naissance : Cette information permet d’une part l’appariement des personnes entre les différentes sources, et d’autre part à définir l’âge au moment de la consommation des soins</w:t>
      </w:r>
    </w:p>
    <w:p w14:paraId="3E240DDE" w14:textId="77777777" w:rsidR="00CE177A" w:rsidRPr="00CE177A" w:rsidRDefault="00CE177A" w:rsidP="008D6650">
      <w:pPr>
        <w:jc w:val="both"/>
        <w:rPr>
          <w:highlight w:val="yellow"/>
        </w:rPr>
      </w:pPr>
      <w:r w:rsidRPr="00CE177A">
        <w:rPr>
          <w:highlight w:val="yellow"/>
        </w:rPr>
        <w:t>Date de soins : Cette information permet d’une part l’appariement des personnes entre les différentes sources, et d’autre part de définir les délais entre les différents soins, et la survie</w:t>
      </w:r>
    </w:p>
    <w:p w14:paraId="0834C73B" w14:textId="77777777" w:rsidR="00CE177A" w:rsidRPr="00CE177A" w:rsidRDefault="00CE177A" w:rsidP="008D6650">
      <w:pPr>
        <w:jc w:val="both"/>
        <w:rPr>
          <w:highlight w:val="yellow"/>
        </w:rPr>
      </w:pPr>
      <w:r w:rsidRPr="00CE177A">
        <w:rPr>
          <w:highlight w:val="yellow"/>
        </w:rPr>
        <w:t>Mois, année de décès : cette information permet d’identifier la censure d’une personne (délai de suivi), d’identifier les consommations de soins qui sont proches du décès et les délais entre les soins et le décès, et de définir l’âge au décès</w:t>
      </w:r>
    </w:p>
    <w:p w14:paraId="6BCBE425" w14:textId="77777777" w:rsidR="00EC43EB" w:rsidRPr="004D7898" w:rsidRDefault="00EC43EB" w:rsidP="008D6650">
      <w:pPr>
        <w:jc w:val="both"/>
        <w:rPr>
          <w:highlight w:val="yellow"/>
        </w:rPr>
      </w:pPr>
      <w:r w:rsidRPr="002B7CBA">
        <w:rPr>
          <w:highlight w:val="yellow"/>
        </w:rPr>
        <w:t>Commune de résidence</w:t>
      </w:r>
      <w:r w:rsidRPr="002B7CBA">
        <w:rPr>
          <w:rFonts w:ascii="Cambria" w:hAnsi="Cambria" w:cs="Cambria"/>
          <w:highlight w:val="yellow"/>
        </w:rPr>
        <w:t> </w:t>
      </w:r>
      <w:r w:rsidRPr="002B7CBA">
        <w:rPr>
          <w:highlight w:val="yellow"/>
        </w:rPr>
        <w:t>: Cette information permet l’appariement des personnes entre les différentes sources</w:t>
      </w:r>
      <w:r w:rsidR="004D7898">
        <w:rPr>
          <w:highlight w:val="yellow"/>
        </w:rPr>
        <w:t xml:space="preserve"> </w:t>
      </w:r>
      <w:r w:rsidR="004D7898" w:rsidRPr="004D7898">
        <w:rPr>
          <w:highlight w:val="yellow"/>
        </w:rPr>
        <w:t xml:space="preserve">et d’attribuer un indice de </w:t>
      </w:r>
      <w:proofErr w:type="spellStart"/>
      <w:r w:rsidR="004D7898" w:rsidRPr="004D7898">
        <w:rPr>
          <w:highlight w:val="yellow"/>
        </w:rPr>
        <w:t>défavorisation</w:t>
      </w:r>
      <w:proofErr w:type="spellEnd"/>
      <w:r w:rsidR="004D7898" w:rsidRPr="004D7898">
        <w:rPr>
          <w:highlight w:val="yellow"/>
        </w:rPr>
        <w:t xml:space="preserve"> (</w:t>
      </w:r>
      <w:proofErr w:type="spellStart"/>
      <w:r w:rsidR="004D7898" w:rsidRPr="004D7898">
        <w:rPr>
          <w:highlight w:val="yellow"/>
        </w:rPr>
        <w:t>FDep</w:t>
      </w:r>
      <w:proofErr w:type="spellEnd"/>
      <w:r w:rsidR="004D7898" w:rsidRPr="004D7898">
        <w:rPr>
          <w:highlight w:val="yellow"/>
        </w:rPr>
        <w:t>) aux personnes.</w:t>
      </w:r>
    </w:p>
    <w:p w14:paraId="07FC44C0" w14:textId="77777777" w:rsidR="00EC43EB" w:rsidRPr="002B7CBA" w:rsidRDefault="00EC43EB" w:rsidP="008D6650">
      <w:pPr>
        <w:jc w:val="both"/>
        <w:rPr>
          <w:highlight w:val="yellow"/>
        </w:rPr>
      </w:pPr>
      <w:r w:rsidRPr="002B7CBA">
        <w:rPr>
          <w:highlight w:val="yellow"/>
        </w:rPr>
        <w:t>Commune de décès</w:t>
      </w:r>
      <w:r w:rsidRPr="002B7CBA">
        <w:rPr>
          <w:rFonts w:ascii="Cambria" w:hAnsi="Cambria" w:cs="Cambria"/>
          <w:highlight w:val="yellow"/>
        </w:rPr>
        <w:t> </w:t>
      </w:r>
      <w:r w:rsidRPr="002B7CBA">
        <w:rPr>
          <w:highlight w:val="yellow"/>
        </w:rPr>
        <w:t>: Cette information permet l’appariement des personnes entre les différentes sources</w:t>
      </w:r>
    </w:p>
    <w:p w14:paraId="73E61D0A" w14:textId="77777777" w:rsidR="00EC43EB" w:rsidRPr="00415002" w:rsidRDefault="009818DD" w:rsidP="008D6650">
      <w:pPr>
        <w:pStyle w:val="Titre3"/>
        <w:jc w:val="both"/>
      </w:pPr>
      <w:bookmarkStart w:id="47" w:name="_Toc161759395"/>
      <w:r>
        <w:t>Spécificité d</w:t>
      </w:r>
      <w:r w:rsidR="00F65401">
        <w:t>es données de la Plateforme de données en cancérologie par rapport au SNDS</w:t>
      </w:r>
      <w:bookmarkEnd w:id="47"/>
      <w:r w:rsidR="001C16C3">
        <w:t xml:space="preserve"> </w:t>
      </w:r>
      <w:r w:rsidR="001C16C3" w:rsidRPr="00951FC3">
        <w:rPr>
          <w:highlight w:val="yellow"/>
        </w:rPr>
        <w:t>(à supprimer si on ne mobilise pas les données du SNDS)</w:t>
      </w:r>
    </w:p>
    <w:p w14:paraId="5DF4F7AD" w14:textId="6D04D61D" w:rsidR="00EC43EB" w:rsidRDefault="00F65401" w:rsidP="008D6650">
      <w:pPr>
        <w:jc w:val="both"/>
      </w:pPr>
      <w:r>
        <w:t>Des</w:t>
      </w:r>
      <w:r w:rsidR="00EC43EB" w:rsidRPr="00EE2DEA">
        <w:t xml:space="preserve"> variables </w:t>
      </w:r>
      <w:r w:rsidR="00EC43EB">
        <w:t xml:space="preserve">ou indicateurs </w:t>
      </w:r>
      <w:r w:rsidR="00EC43EB" w:rsidRPr="00EE2DEA">
        <w:t>complémentaires</w:t>
      </w:r>
      <w:r w:rsidR="009818DD">
        <w:t>, ainsi que des tables de données et des référentiels</w:t>
      </w:r>
      <w:r w:rsidR="00EC43EB" w:rsidRPr="00EE2DEA">
        <w:t xml:space="preserve">, déduits des informations du SNDS </w:t>
      </w:r>
      <w:r>
        <w:t xml:space="preserve">ont été </w:t>
      </w:r>
      <w:r w:rsidR="00EC43EB" w:rsidRPr="00EE2DEA">
        <w:t xml:space="preserve">créés </w:t>
      </w:r>
      <w:r w:rsidR="0041076B">
        <w:t>par l’</w:t>
      </w:r>
      <w:r w:rsidR="00903EBA">
        <w:t>Institut</w:t>
      </w:r>
      <w:r w:rsidR="0041076B">
        <w:t xml:space="preserve"> </w:t>
      </w:r>
      <w:r w:rsidR="00EC43EB" w:rsidRPr="00EE2DEA">
        <w:t xml:space="preserve">afin de mieux caractériser </w:t>
      </w:r>
      <w:r w:rsidR="00EC43EB">
        <w:t>les personnes, leur</w:t>
      </w:r>
      <w:r w:rsidR="00EC43EB" w:rsidRPr="00EE2DEA">
        <w:t xml:space="preserve"> cancer et </w:t>
      </w:r>
      <w:r w:rsidR="00EC43EB">
        <w:t xml:space="preserve">leurs </w:t>
      </w:r>
      <w:r w:rsidR="00EC43EB" w:rsidRPr="00EE2DEA">
        <w:t>consommation</w:t>
      </w:r>
      <w:r w:rsidR="00EC43EB">
        <w:t>s</w:t>
      </w:r>
      <w:r w:rsidR="00EC43EB" w:rsidRPr="00EE2DEA">
        <w:t xml:space="preserve"> de soins.</w:t>
      </w:r>
      <w:r w:rsidR="00EC43EB">
        <w:t xml:space="preserve"> En effet ces informations se trouvent dispersées, évoluent dans le temps, et leur recherche est consommatrice de temps et source d’erreur. Afin d’éviter aux utilisateurs de devoir refaire ces </w:t>
      </w:r>
      <w:r w:rsidR="00A81067">
        <w:t xml:space="preserve">exploitations </w:t>
      </w:r>
      <w:r w:rsidR="00EC43EB">
        <w:t>à partir des données sources</w:t>
      </w:r>
      <w:r>
        <w:t>, leur faire gagner du temps d’exploitation</w:t>
      </w:r>
      <w:r w:rsidR="00EC43EB">
        <w:t xml:space="preserve"> et pour garantir une homogénéité de traitement de la donnée, l’</w:t>
      </w:r>
      <w:r w:rsidR="00903EBA">
        <w:t>Institut</w:t>
      </w:r>
      <w:r w:rsidR="00EC43EB">
        <w:t xml:space="preserve"> extrait, qualifie, hiérarchise, date et historise les informations </w:t>
      </w:r>
      <w:r w:rsidR="00A81067">
        <w:t xml:space="preserve">issues </w:t>
      </w:r>
      <w:r w:rsidR="00EC43EB">
        <w:t>de ces différentes sources et les restitue dans des tables mises à disposition des utilisateurs de la plateforme.</w:t>
      </w:r>
    </w:p>
    <w:p w14:paraId="19CE892F" w14:textId="77777777" w:rsidR="00EC43EB" w:rsidRDefault="00EC43EB" w:rsidP="008D6650">
      <w:pPr>
        <w:jc w:val="both"/>
      </w:pPr>
      <w:r>
        <w:t>Ces tables sont mises à jour chaque année lors de l’actualisation des données. Elles s’appuient sur les consommations de soins de ville (incluses dans le DCIR – datamart de consommation inter-régime), à l’hôpital (PMSI MCO – médecine, chirurgie, obstétri</w:t>
      </w:r>
      <w:r w:rsidR="00A81067">
        <w:t>qu</w:t>
      </w:r>
      <w:r>
        <w:t xml:space="preserve">e, HAD – Hospitalisation à domicile, SSR – Soins de suite et de réadaptation, ou RIM-P </w:t>
      </w:r>
      <w:r w:rsidRPr="008873A3">
        <w:t>Recueil d'information en psychiatrie</w:t>
      </w:r>
      <w:r>
        <w:t>)</w:t>
      </w:r>
      <w:r w:rsidR="007157DE">
        <w:t xml:space="preserve"> et</w:t>
      </w:r>
      <w:r w:rsidR="001539FE">
        <w:t xml:space="preserve"> </w:t>
      </w:r>
      <w:r>
        <w:t>les ALD (affection longue durée) …</w:t>
      </w:r>
    </w:p>
    <w:p w14:paraId="237181AE" w14:textId="6D970F04" w:rsidR="00EC43EB" w:rsidRDefault="00EC43EB" w:rsidP="008D6650">
      <w:pPr>
        <w:jc w:val="both"/>
      </w:pPr>
      <w:r>
        <w:t>Les variables ou indicateurs définis par l’</w:t>
      </w:r>
      <w:r w:rsidR="00903EBA">
        <w:t>Institut</w:t>
      </w:r>
      <w:r>
        <w:t xml:space="preserve"> sont relatifs</w:t>
      </w:r>
      <w:r>
        <w:rPr>
          <w:rFonts w:ascii="Cambria" w:hAnsi="Cambria" w:cs="Cambria"/>
        </w:rPr>
        <w:t> </w:t>
      </w:r>
      <w:r>
        <w:t>:</w:t>
      </w:r>
    </w:p>
    <w:p w14:paraId="5488AD20" w14:textId="77777777" w:rsidR="00EC43EB" w:rsidRPr="001539FE" w:rsidRDefault="00EC43EB" w:rsidP="00DA4183">
      <w:pPr>
        <w:pStyle w:val="Paragraphedeliste"/>
        <w:numPr>
          <w:ilvl w:val="0"/>
          <w:numId w:val="10"/>
        </w:numPr>
        <w:jc w:val="both"/>
      </w:pPr>
      <w:r w:rsidRPr="001539FE">
        <w:t>Aux bénéficiaires</w:t>
      </w:r>
      <w:r w:rsidRPr="000031E2">
        <w:rPr>
          <w:rFonts w:ascii="Cambria" w:hAnsi="Cambria" w:cs="Cambria"/>
        </w:rPr>
        <w:t> </w:t>
      </w:r>
      <w:r w:rsidRPr="001539FE">
        <w:t xml:space="preserve">: sexe, mois-année de naissance, date de décès, régime d’assurance maladie, bénéficiaire de la </w:t>
      </w:r>
      <w:r w:rsidR="004D7898">
        <w:t>CMU-C</w:t>
      </w:r>
      <w:r w:rsidRPr="001539FE">
        <w:t>/CSS (Couverture mutuelle universelle complémentaire et Complémentaire santé solidaire), code commune de résidence, bénéficiaire d’une ALD pour un cancer</w:t>
      </w:r>
      <w:r w:rsidR="003C71B8" w:rsidRPr="001539FE">
        <w:t>…</w:t>
      </w:r>
    </w:p>
    <w:p w14:paraId="1A669851" w14:textId="77777777" w:rsidR="00EC43EB" w:rsidRPr="001539FE" w:rsidRDefault="00EC43EB" w:rsidP="00DA4183">
      <w:pPr>
        <w:pStyle w:val="Paragraphedeliste"/>
        <w:numPr>
          <w:ilvl w:val="0"/>
          <w:numId w:val="10"/>
        </w:numPr>
        <w:jc w:val="both"/>
      </w:pPr>
      <w:r w:rsidRPr="001539FE">
        <w:t>Aux comorbidités</w:t>
      </w:r>
      <w:r w:rsidRPr="000031E2">
        <w:rPr>
          <w:rFonts w:ascii="Cambria" w:hAnsi="Cambria" w:cs="Cambria"/>
        </w:rPr>
        <w:t> </w:t>
      </w:r>
      <w:r w:rsidR="0032480B">
        <w:t>dont le</w:t>
      </w:r>
      <w:r w:rsidRPr="001539FE">
        <w:t xml:space="preserve"> score de </w:t>
      </w:r>
      <w:proofErr w:type="spellStart"/>
      <w:r w:rsidRPr="001539FE">
        <w:t>Charlson</w:t>
      </w:r>
      <w:proofErr w:type="spellEnd"/>
      <w:r w:rsidR="003C71B8" w:rsidRPr="001539FE">
        <w:t>…</w:t>
      </w:r>
    </w:p>
    <w:p w14:paraId="6CEE2048" w14:textId="77777777" w:rsidR="00EC43EB" w:rsidRPr="001539FE" w:rsidRDefault="00EC43EB" w:rsidP="00DA4183">
      <w:pPr>
        <w:pStyle w:val="Paragraphedeliste"/>
        <w:numPr>
          <w:ilvl w:val="0"/>
          <w:numId w:val="10"/>
        </w:numPr>
        <w:jc w:val="both"/>
      </w:pPr>
      <w:r w:rsidRPr="001539FE">
        <w:t>Aux consommations de soin en rapport avec le cancer</w:t>
      </w:r>
      <w:r w:rsidRPr="000031E2">
        <w:rPr>
          <w:rFonts w:ascii="Cambria" w:hAnsi="Cambria" w:cs="Cambria"/>
        </w:rPr>
        <w:t> </w:t>
      </w:r>
      <w:r w:rsidRPr="001539FE">
        <w:t xml:space="preserve">: chirurgie dont exérèse, hospitalisations pour/avec chimiothérapie, hospitalisations pour/avec radiothérapie, acte de radiothérapie en secteur libéral, consommation de médicament anti-cancéreux en liste en sus, en rétrocession, en ville, soins palliatifs en MCO, SSR ou HAD, hospitalisation post-chirurgie en SSR, acte spécifique d’anatomopathologie en ville… </w:t>
      </w:r>
    </w:p>
    <w:p w14:paraId="06596797" w14:textId="77777777" w:rsidR="001539FE" w:rsidRDefault="00EC43EB" w:rsidP="00DA4183">
      <w:pPr>
        <w:pStyle w:val="Paragraphedeliste"/>
        <w:numPr>
          <w:ilvl w:val="0"/>
          <w:numId w:val="10"/>
        </w:numPr>
        <w:jc w:val="both"/>
      </w:pPr>
      <w:r w:rsidRPr="001539FE">
        <w:t>A</w:t>
      </w:r>
      <w:r w:rsidR="00A81067" w:rsidRPr="001539FE">
        <w:t xml:space="preserve"> la caractérisation du</w:t>
      </w:r>
      <w:r w:rsidRPr="001539FE">
        <w:t xml:space="preserve"> cancer du bénéficiaire</w:t>
      </w:r>
      <w:r w:rsidR="00A81067" w:rsidRPr="001539FE">
        <w:t xml:space="preserve"> </w:t>
      </w:r>
      <w:r w:rsidR="003F1CE0" w:rsidRPr="001539FE">
        <w:t xml:space="preserve">pour </w:t>
      </w:r>
      <w:r w:rsidR="00A81067" w:rsidRPr="001539FE">
        <w:t>chaque année depuis l’inclusion de la personne dans la cohorte</w:t>
      </w:r>
      <w:r w:rsidR="00A81067" w:rsidRPr="000031E2">
        <w:rPr>
          <w:rFonts w:ascii="Cambria" w:hAnsi="Cambria" w:cs="Cambria"/>
        </w:rPr>
        <w:t> </w:t>
      </w:r>
      <w:r w:rsidR="00A81067" w:rsidRPr="001539FE">
        <w:t xml:space="preserve">: </w:t>
      </w:r>
      <w:r w:rsidRPr="001539FE">
        <w:t>type de cancer (in situ, invasif, envahissement ganglionnaire ou métastatique), localisation du cancer (appareil, organe), sources ayant permis d’identification du cancer (ALD, PMSI MCO, HAD ou SSR), mode de prise en charge en MCO (chirurgie, chimiothérapie, radiothérapie)</w:t>
      </w:r>
      <w:r w:rsidR="001539FE" w:rsidRPr="001539FE">
        <w:t xml:space="preserve">. </w:t>
      </w:r>
      <w:r w:rsidR="00A81067" w:rsidRPr="001539FE">
        <w:t>Cela permet de repérer les cas incidents d’une année donnée. Une confrontation des différents codes d’une même personne permet de corriger certains codage</w:t>
      </w:r>
      <w:r w:rsidR="001539FE" w:rsidRPr="001539FE">
        <w:t>s</w:t>
      </w:r>
      <w:r w:rsidR="00A81067" w:rsidRPr="001539FE">
        <w:t xml:space="preserve"> tels que de probables métastases codées comme de tumeurs primitives ou des localisations non précises.</w:t>
      </w:r>
    </w:p>
    <w:p w14:paraId="2EE7C208" w14:textId="77777777" w:rsidR="003F1CE0" w:rsidRPr="001539FE" w:rsidRDefault="007157DE" w:rsidP="008D6650">
      <w:pPr>
        <w:jc w:val="both"/>
      </w:pPr>
      <w:r w:rsidRPr="001539FE">
        <w:t>L’utilisateur garde la possibilité de travailler sur les données avant correction et sur les données sources ayant permis la création des variables ou indicateurs complémentaires.</w:t>
      </w:r>
    </w:p>
    <w:p w14:paraId="18324006" w14:textId="77777777" w:rsidR="007371AA" w:rsidRPr="003C71B8" w:rsidRDefault="00FC4D7A" w:rsidP="008D6650">
      <w:pPr>
        <w:pStyle w:val="Titre1"/>
        <w:jc w:val="both"/>
      </w:pPr>
      <w:bookmarkStart w:id="48" w:name="_Toc161759398"/>
      <w:bookmarkEnd w:id="44"/>
      <w:bookmarkEnd w:id="45"/>
      <w:r w:rsidRPr="003C71B8">
        <w:t>Analyses des données</w:t>
      </w:r>
      <w:bookmarkEnd w:id="48"/>
    </w:p>
    <w:p w14:paraId="5ACEED96" w14:textId="57280FA7" w:rsidR="00C301D4" w:rsidRPr="002D149D" w:rsidRDefault="00C301D4" w:rsidP="008D6650">
      <w:pPr>
        <w:jc w:val="both"/>
        <w:rPr>
          <w:i/>
          <w:highlight w:val="yellow"/>
        </w:rPr>
      </w:pPr>
      <w:r w:rsidRPr="002D149D">
        <w:rPr>
          <w:i/>
          <w:highlight w:val="yellow"/>
        </w:rPr>
        <w:t xml:space="preserve">Rédaction conjointe </w:t>
      </w:r>
      <w:r w:rsidR="00903EBA">
        <w:rPr>
          <w:i/>
          <w:highlight w:val="yellow"/>
        </w:rPr>
        <w:t>Institut</w:t>
      </w:r>
      <w:r w:rsidRPr="002D149D">
        <w:rPr>
          <w:i/>
          <w:highlight w:val="yellow"/>
        </w:rPr>
        <w:t>/</w:t>
      </w:r>
      <w:r w:rsidR="004823EC" w:rsidRPr="002D149D">
        <w:rPr>
          <w:i/>
          <w:highlight w:val="yellow"/>
        </w:rPr>
        <w:t>Partenaire</w:t>
      </w:r>
    </w:p>
    <w:p w14:paraId="4F7D714D" w14:textId="77777777" w:rsidR="00417525" w:rsidRPr="00C301D4" w:rsidRDefault="00417525" w:rsidP="008D6650">
      <w:pPr>
        <w:jc w:val="both"/>
        <w:rPr>
          <w:i/>
        </w:rPr>
      </w:pPr>
      <w:r w:rsidRPr="002D149D">
        <w:rPr>
          <w:i/>
          <w:highlight w:val="yellow"/>
        </w:rPr>
        <w:t>Si des algorithmes doivent être utilisés, préciser ces algorithmes ; s’ils doivent être développés, l’indiquer</w:t>
      </w:r>
    </w:p>
    <w:p w14:paraId="1A7080B3" w14:textId="77777777" w:rsidR="00FF1790" w:rsidRDefault="00FC4D7A" w:rsidP="008D6650">
      <w:pPr>
        <w:pStyle w:val="Titre2"/>
        <w:jc w:val="both"/>
      </w:pPr>
      <w:bookmarkStart w:id="49" w:name="_Toc161759399"/>
      <w:r>
        <w:t>Critère de jugement principal</w:t>
      </w:r>
      <w:bookmarkEnd w:id="49"/>
    </w:p>
    <w:p w14:paraId="690611D1" w14:textId="77777777" w:rsidR="002D149D" w:rsidRPr="002D149D" w:rsidRDefault="002D149D" w:rsidP="008D6650">
      <w:pPr>
        <w:jc w:val="both"/>
      </w:pPr>
    </w:p>
    <w:p w14:paraId="28E66102" w14:textId="77777777" w:rsidR="006A5130" w:rsidRPr="006A5130" w:rsidRDefault="00FC4D7A" w:rsidP="008D6650">
      <w:pPr>
        <w:pStyle w:val="Titre2"/>
        <w:jc w:val="both"/>
      </w:pPr>
      <w:bookmarkStart w:id="50" w:name="_Toc161759400"/>
      <w:r>
        <w:t>Critère de jugement secondaire</w:t>
      </w:r>
      <w:bookmarkEnd w:id="50"/>
    </w:p>
    <w:p w14:paraId="29245AA7" w14:textId="77777777" w:rsidR="002166C7" w:rsidRDefault="002166C7" w:rsidP="008D6650">
      <w:pPr>
        <w:jc w:val="both"/>
      </w:pPr>
    </w:p>
    <w:p w14:paraId="72B672BC" w14:textId="77777777" w:rsidR="002166C7" w:rsidRDefault="002166C7" w:rsidP="008D6650">
      <w:pPr>
        <w:pStyle w:val="Titre1"/>
        <w:jc w:val="both"/>
      </w:pPr>
      <w:bookmarkStart w:id="51" w:name="_Toc161759401"/>
      <w:r>
        <w:t>Limites de l’étude</w:t>
      </w:r>
      <w:bookmarkEnd w:id="51"/>
    </w:p>
    <w:p w14:paraId="5C5C8DBB" w14:textId="77777777" w:rsidR="002166C7" w:rsidRDefault="002166C7" w:rsidP="008D6650">
      <w:pPr>
        <w:jc w:val="both"/>
      </w:pPr>
    </w:p>
    <w:p w14:paraId="65B62D73" w14:textId="77777777" w:rsidR="002166C7" w:rsidRDefault="002166C7" w:rsidP="008D6650">
      <w:pPr>
        <w:jc w:val="both"/>
      </w:pPr>
    </w:p>
    <w:p w14:paraId="18FA91E9" w14:textId="77777777" w:rsidR="002166C7" w:rsidRDefault="002166C7" w:rsidP="008D6650">
      <w:pPr>
        <w:pStyle w:val="Titre1"/>
        <w:jc w:val="both"/>
      </w:pPr>
      <w:bookmarkStart w:id="52" w:name="_Toc161759402"/>
      <w:r>
        <w:t>Calendrier prévisionnel, faisabilité du projet</w:t>
      </w:r>
      <w:bookmarkEnd w:id="52"/>
    </w:p>
    <w:p w14:paraId="5FBC5828" w14:textId="76CBDE40" w:rsidR="002166C7" w:rsidRPr="002D149D" w:rsidRDefault="002166C7" w:rsidP="008D6650">
      <w:pPr>
        <w:jc w:val="both"/>
        <w:rPr>
          <w:i/>
          <w:iCs/>
        </w:rPr>
      </w:pPr>
      <w:r w:rsidRPr="002D149D">
        <w:rPr>
          <w:i/>
          <w:iCs/>
          <w:highlight w:val="yellow"/>
        </w:rPr>
        <w:t xml:space="preserve">Rédaction conjointe </w:t>
      </w:r>
      <w:r w:rsidR="00903EBA">
        <w:rPr>
          <w:i/>
          <w:iCs/>
          <w:highlight w:val="yellow"/>
        </w:rPr>
        <w:t>Institut</w:t>
      </w:r>
      <w:r w:rsidRPr="002D149D">
        <w:rPr>
          <w:i/>
          <w:iCs/>
          <w:highlight w:val="yellow"/>
        </w:rPr>
        <w:t>/Partenaire</w:t>
      </w:r>
    </w:p>
    <w:p w14:paraId="1F1E6431" w14:textId="4252A101" w:rsidR="00C72CEB" w:rsidRDefault="00C72CEB" w:rsidP="008D6650">
      <w:pPr>
        <w:spacing w:line="240" w:lineRule="auto"/>
        <w:jc w:val="both"/>
        <w:rPr>
          <w:rFonts w:ascii="Marianne" w:eastAsia="MS Mincho" w:hAnsi="Marianne" w:cs="Arial"/>
          <w:b/>
          <w:bCs/>
          <w:caps/>
          <w:color w:val="0070C0"/>
          <w:spacing w:val="20"/>
          <w:sz w:val="32"/>
          <w:szCs w:val="40"/>
        </w:rPr>
      </w:pPr>
    </w:p>
    <w:p w14:paraId="6BF66E7C" w14:textId="77777777" w:rsidR="00396C33" w:rsidRPr="000A75EE" w:rsidRDefault="00396C33" w:rsidP="008D6650">
      <w:pPr>
        <w:pStyle w:val="Titre1"/>
        <w:jc w:val="both"/>
        <w:rPr>
          <w:highlight w:val="cyan"/>
        </w:rPr>
      </w:pPr>
      <w:bookmarkStart w:id="53" w:name="_Toc161759403"/>
      <w:r w:rsidRPr="000A75EE">
        <w:rPr>
          <w:highlight w:val="cyan"/>
        </w:rPr>
        <w:t>Information des personnes</w:t>
      </w:r>
      <w:bookmarkEnd w:id="53"/>
    </w:p>
    <w:p w14:paraId="67F97E36" w14:textId="77777777" w:rsidR="00396C33" w:rsidRDefault="00396C33" w:rsidP="008D6650">
      <w:pPr>
        <w:pStyle w:val="Titre2"/>
        <w:jc w:val="both"/>
      </w:pPr>
      <w:bookmarkStart w:id="54" w:name="_Toc161759404"/>
      <w:r>
        <w:t>Information individuelle</w:t>
      </w:r>
      <w:bookmarkEnd w:id="54"/>
    </w:p>
    <w:p w14:paraId="696BBE7F" w14:textId="77777777" w:rsidR="00396C33" w:rsidRPr="002D149D" w:rsidRDefault="00396C33" w:rsidP="008D6650">
      <w:pPr>
        <w:jc w:val="both"/>
        <w:rPr>
          <w:i/>
          <w:iCs/>
          <w:highlight w:val="yellow"/>
        </w:rPr>
      </w:pPr>
      <w:r w:rsidRPr="002D149D">
        <w:rPr>
          <w:i/>
          <w:iCs/>
          <w:highlight w:val="yellow"/>
        </w:rPr>
        <w:t>A compléter si une information individuelle est prévue, sinon supprimer la section. Attention dans ce cas à une éventuelle demande de dérogation à l’information des personnes (notamment si celle-ci n’a pas été effectuée par ailleurs).</w:t>
      </w:r>
    </w:p>
    <w:p w14:paraId="65780904" w14:textId="77777777" w:rsidR="00396C33" w:rsidRPr="002D149D" w:rsidRDefault="00396C33" w:rsidP="008D6650">
      <w:pPr>
        <w:jc w:val="both"/>
        <w:rPr>
          <w:i/>
          <w:iCs/>
        </w:rPr>
      </w:pPr>
      <w:r w:rsidRPr="002D149D">
        <w:rPr>
          <w:i/>
          <w:iCs/>
          <w:highlight w:val="yellow"/>
        </w:rPr>
        <w:t>Attention</w:t>
      </w:r>
      <w:r w:rsidRPr="002D149D">
        <w:rPr>
          <w:rFonts w:ascii="Cambria" w:hAnsi="Cambria" w:cs="Cambria"/>
          <w:i/>
          <w:iCs/>
          <w:highlight w:val="yellow"/>
        </w:rPr>
        <w:t> </w:t>
      </w:r>
      <w:r w:rsidRPr="002D149D">
        <w:rPr>
          <w:i/>
          <w:iCs/>
          <w:highlight w:val="yellow"/>
        </w:rPr>
        <w:t>: considérer chaque source de données indépendamment</w:t>
      </w:r>
    </w:p>
    <w:p w14:paraId="48FEDA76" w14:textId="02073667" w:rsidR="00396C33" w:rsidRPr="003125D6" w:rsidRDefault="0095018D" w:rsidP="008D6650">
      <w:pPr>
        <w:jc w:val="both"/>
        <w:rPr>
          <w:i/>
          <w:iCs/>
          <w:highlight w:val="yellow"/>
        </w:rPr>
      </w:pPr>
      <w:r>
        <w:rPr>
          <w:i/>
          <w:iCs/>
          <w:highlight w:val="yellow"/>
        </w:rPr>
        <w:t>L</w:t>
      </w:r>
      <w:r w:rsidR="00396C33" w:rsidRPr="003125D6">
        <w:rPr>
          <w:i/>
          <w:iCs/>
          <w:highlight w:val="yellow"/>
        </w:rPr>
        <w:t>a dérogation à l’information des personnes est propre à chaque source</w:t>
      </w:r>
    </w:p>
    <w:p w14:paraId="740FABF1" w14:textId="5842689C" w:rsidR="00396C33" w:rsidRPr="003125D6" w:rsidRDefault="0095018D" w:rsidP="008D6650">
      <w:pPr>
        <w:jc w:val="both"/>
        <w:rPr>
          <w:i/>
          <w:iCs/>
          <w:highlight w:val="yellow"/>
        </w:rPr>
      </w:pPr>
      <w:r>
        <w:rPr>
          <w:i/>
          <w:iCs/>
          <w:highlight w:val="yellow"/>
        </w:rPr>
        <w:t>L</w:t>
      </w:r>
      <w:r w:rsidR="00396C33" w:rsidRPr="003125D6">
        <w:rPr>
          <w:i/>
          <w:iCs/>
          <w:highlight w:val="yellow"/>
        </w:rPr>
        <w:t>a lettre d’information d’une source peut, si elle le mentionne, permettre l’accès à un ensemble de source (et ainsi assurer l’information des personnes pour la présente étude)</w:t>
      </w:r>
    </w:p>
    <w:p w14:paraId="0CE1499B" w14:textId="77777777" w:rsidR="003125D6" w:rsidRPr="002D149D" w:rsidRDefault="003125D6" w:rsidP="008D6650">
      <w:pPr>
        <w:jc w:val="both"/>
        <w:rPr>
          <w:highlight w:val="yellow"/>
        </w:rPr>
      </w:pPr>
    </w:p>
    <w:p w14:paraId="39D17110" w14:textId="77777777" w:rsidR="00396C33" w:rsidRDefault="00396C33" w:rsidP="008D6650">
      <w:pPr>
        <w:pStyle w:val="Titre2"/>
        <w:jc w:val="both"/>
      </w:pPr>
      <w:bookmarkStart w:id="55" w:name="_Toc161759405"/>
      <w:r>
        <w:t>Information collective</w:t>
      </w:r>
      <w:bookmarkEnd w:id="55"/>
    </w:p>
    <w:p w14:paraId="32EB3DAB" w14:textId="770CAD53" w:rsidR="00396C33" w:rsidRDefault="00396C33" w:rsidP="008D6650">
      <w:pPr>
        <w:jc w:val="both"/>
      </w:pPr>
      <w:r>
        <w:t>Dans la mesure où l’</w:t>
      </w:r>
      <w:r w:rsidR="00903EBA">
        <w:t>Institut</w:t>
      </w:r>
      <w:r>
        <w:t xml:space="preserve"> ne dispose pas de l’identité et de l’adresse des personnes concernées et compte tenu du nombre de personnes concernées, de l’incertitude sur leur statut vital et de l’ancienneté d’une partie des données, une information individuelle de l’ensemble des personnes concernées exigerait un effort disproportionné. Dès lors, conformément aux autorisations CNIL </w:t>
      </w:r>
      <w:r w:rsidR="004E7C45">
        <w:t xml:space="preserve">de la plateforme </w:t>
      </w:r>
      <w:r>
        <w:t xml:space="preserve">référencées </w:t>
      </w:r>
      <w:r w:rsidR="004E7C45">
        <w:t xml:space="preserve">en annexe </w:t>
      </w:r>
      <w:r>
        <w:t xml:space="preserve">et conformément à l’article 14 paragraphe 5 point b) du RGPD, </w:t>
      </w:r>
      <w:r w:rsidR="00903EBA">
        <w:t xml:space="preserve">l’Institut </w:t>
      </w:r>
      <w:r>
        <w:t>met à disposition sur son site internet une information collective relative à la Plateforme ainsi que des informations sur les projets de recherche ultérieurs menés à partir des données qu’elle contient et comportant l’ensemble des mentions prévues par l’article 14 du RGPD.</w:t>
      </w:r>
    </w:p>
    <w:p w14:paraId="05A98E35" w14:textId="77777777" w:rsidR="00396C33" w:rsidRDefault="00396C33" w:rsidP="008D6650">
      <w:pPr>
        <w:pStyle w:val="Titre2"/>
        <w:jc w:val="both"/>
      </w:pPr>
      <w:bookmarkStart w:id="56" w:name="_Toc161759406"/>
      <w:r>
        <w:t>Droit des personnes</w:t>
      </w:r>
      <w:bookmarkEnd w:id="56"/>
    </w:p>
    <w:p w14:paraId="54C14CDD" w14:textId="77777777" w:rsidR="00396C33" w:rsidRPr="002D149D" w:rsidRDefault="00396C33" w:rsidP="008D6650">
      <w:pPr>
        <w:jc w:val="both"/>
        <w:rPr>
          <w:i/>
          <w:iCs/>
        </w:rPr>
      </w:pPr>
      <w:r w:rsidRPr="002D149D">
        <w:rPr>
          <w:i/>
          <w:iCs/>
          <w:highlight w:val="yellow"/>
        </w:rPr>
        <w:t>A compléter en fonction des sources de données</w:t>
      </w:r>
    </w:p>
    <w:p w14:paraId="16AE8A50" w14:textId="77777777" w:rsidR="00396C33" w:rsidRDefault="00396C33" w:rsidP="008D6650">
      <w:pPr>
        <w:jc w:val="both"/>
      </w:pPr>
      <w:r>
        <w:t xml:space="preserve">Conformément au Règlement général sur la protection des données 2016/679 (RGPD) et à la loi informatique modifiée, les </w:t>
      </w:r>
      <w:r w:rsidR="00656C1E">
        <w:t xml:space="preserve">personnes concernées </w:t>
      </w:r>
      <w:r>
        <w:t>disposent d’un droit d’accès, droit d’opposition, de rectification, d’effacement et d’un droit à la limitation du traitement de leurs données dans les conditions fixées par le RGPD.</w:t>
      </w:r>
      <w:r w:rsidR="00656C1E">
        <w:t xml:space="preserve"> Les personnes concernées disposent aussi du droit de prévoir des directives sur le sort de leurs données après leur décès et de formuler une réclamation auprès de la CNIL si elles estiment que leurs droits n’ont pas été respectés.</w:t>
      </w:r>
    </w:p>
    <w:p w14:paraId="40FCD23D" w14:textId="15D16E5B" w:rsidR="00396C33" w:rsidRDefault="00656C1E" w:rsidP="008D6650">
      <w:pPr>
        <w:jc w:val="both"/>
      </w:pPr>
      <w:r>
        <w:t>Conformément à la délibération n°2023-040, l</w:t>
      </w:r>
      <w:r w:rsidR="00396C33">
        <w:t xml:space="preserve">’Institut national du cancer ne disposant pas de l’identité des usagers, </w:t>
      </w:r>
      <w:r>
        <w:t>les personnes concernées qui souhaiteraient exercer leurs droits seront sollicit</w:t>
      </w:r>
      <w:r w:rsidR="0098047C">
        <w:t>ées</w:t>
      </w:r>
      <w:r>
        <w:t xml:space="preserve"> par l’Institut après leur demande afin de fournir des informations complémentaires afin que l’Institut tente une réidentification au sein de la PDC. En cas de refus de fournir ces informations complémentaires ou en cas d’échec de la réidentification, les personnes concernées pourront </w:t>
      </w:r>
      <w:r w:rsidR="00396C33">
        <w:t>exercer leurs droits en contactant directement les responsables de traitement des organismes à l’origine de la collecte des données concernées (la CNAM pour le SNDS, registres des cancers ou structures de gestion des dépistages). Une procédure a été développée afin de leur permettre de faire valoir leurs droits</w:t>
      </w:r>
      <w:r>
        <w:t xml:space="preserve">, </w:t>
      </w:r>
      <w:r w:rsidR="00396C33">
        <w:t>présentée sur le site internet de l’Institut.</w:t>
      </w:r>
    </w:p>
    <w:p w14:paraId="3E1A4A53" w14:textId="77777777" w:rsidR="00396C33" w:rsidRDefault="00396C33" w:rsidP="008D6650">
      <w:pPr>
        <w:jc w:val="both"/>
      </w:pPr>
      <w:r>
        <w:t xml:space="preserve">Les coordonnées de l’Institut, de son représentant légal et de sa déléguée à la protection des données sont disponibles sur le site </w:t>
      </w:r>
      <w:hyperlink r:id="rId14" w:history="1">
        <w:r w:rsidRPr="000B4BC4">
          <w:rPr>
            <w:rStyle w:val="Lienhypertexte"/>
          </w:rPr>
          <w:t>https://www.e-cancer.fr/Politique-de-protection-des-donnees-a-caractere-personnel</w:t>
        </w:r>
      </w:hyperlink>
      <w:r>
        <w:t xml:space="preserve">. Les usagers ont également la possibilité de contacter par écrit le service juridique de l’Institut national du cancer, 52 avenue André Morizet, 92 100 Boulogne Billancourt afin de lui faire part de leur demande ou par mail à l’adresse suivante </w:t>
      </w:r>
      <w:hyperlink r:id="rId15" w:history="1">
        <w:r w:rsidR="00656C1E">
          <w:rPr>
            <w:rStyle w:val="Lienhypertexte"/>
          </w:rPr>
          <w:t>dpo</w:t>
        </w:r>
        <w:r w:rsidR="00656C1E" w:rsidRPr="000B4BC4">
          <w:rPr>
            <w:rStyle w:val="Lienhypertexte"/>
          </w:rPr>
          <w:t>@institutcancer.fr</w:t>
        </w:r>
      </w:hyperlink>
      <w:r>
        <w:t>.</w:t>
      </w:r>
    </w:p>
    <w:p w14:paraId="11A215AA" w14:textId="77777777" w:rsidR="00396C33" w:rsidRDefault="00396C33" w:rsidP="008D6650">
      <w:pPr>
        <w:jc w:val="both"/>
      </w:pPr>
      <w:r>
        <w:t>Si un usager estime, après avoir contacté les différents organismes à l’origine de la collecte des données concernées ou l’Institut, que ses droits ne sont pas respectés, il peut adresser une réclamation en ligne à la CNIL ou par voie postale.</w:t>
      </w:r>
    </w:p>
    <w:p w14:paraId="1225E77D" w14:textId="77777777" w:rsidR="00396C33" w:rsidRDefault="00396C33" w:rsidP="008D6650">
      <w:pPr>
        <w:jc w:val="both"/>
      </w:pPr>
    </w:p>
    <w:p w14:paraId="532E59E3" w14:textId="77777777" w:rsidR="008543B6" w:rsidRPr="000A75EE" w:rsidRDefault="008543B6" w:rsidP="008D6650">
      <w:pPr>
        <w:pStyle w:val="Titre1"/>
        <w:jc w:val="both"/>
        <w:rPr>
          <w:highlight w:val="cyan"/>
        </w:rPr>
      </w:pPr>
      <w:bookmarkStart w:id="57" w:name="_Toc161759407"/>
      <w:r w:rsidRPr="000A75EE">
        <w:rPr>
          <w:highlight w:val="cyan"/>
        </w:rPr>
        <w:t>Sécurité et circuit des données</w:t>
      </w:r>
      <w:bookmarkEnd w:id="57"/>
    </w:p>
    <w:p w14:paraId="343B2B23" w14:textId="77777777" w:rsidR="006168EE" w:rsidRDefault="006168EE" w:rsidP="008D6650">
      <w:pPr>
        <w:pStyle w:val="Titre2"/>
        <w:jc w:val="both"/>
      </w:pPr>
      <w:bookmarkStart w:id="58" w:name="_Toc161759408"/>
      <w:bookmarkStart w:id="59" w:name="_Hlk121921046"/>
      <w:r>
        <w:t>Gestion du risque d’identification des personnes ou de ré-identification des personnes</w:t>
      </w:r>
      <w:bookmarkEnd w:id="58"/>
    </w:p>
    <w:p w14:paraId="5CF2B71A" w14:textId="77777777" w:rsidR="004669DE" w:rsidRPr="004669DE" w:rsidRDefault="004669DE" w:rsidP="008D6650">
      <w:pPr>
        <w:jc w:val="both"/>
      </w:pPr>
    </w:p>
    <w:p w14:paraId="66675508" w14:textId="77777777" w:rsidR="006168EE" w:rsidRDefault="004669DE" w:rsidP="008D6650">
      <w:pPr>
        <w:pStyle w:val="Titre3"/>
        <w:jc w:val="both"/>
      </w:pPr>
      <w:bookmarkStart w:id="60" w:name="_Toc161759409"/>
      <w:bookmarkEnd w:id="59"/>
      <w:r>
        <w:t>Pseudonymisation (code personne)</w:t>
      </w:r>
      <w:bookmarkEnd w:id="60"/>
    </w:p>
    <w:p w14:paraId="25360606" w14:textId="30CDD668" w:rsidR="007B7275" w:rsidRDefault="007B7275" w:rsidP="008D6650">
      <w:pPr>
        <w:jc w:val="both"/>
      </w:pPr>
      <w:r>
        <w:t>Pour chaque source de données</w:t>
      </w:r>
      <w:r w:rsidR="00831118">
        <w:t xml:space="preserve"> de la plateforme de données en cancérologie</w:t>
      </w:r>
      <w:r>
        <w:t>, un code personne unique</w:t>
      </w:r>
      <w:r w:rsidR="004669DE">
        <w:t xml:space="preserve"> (pseudonyme)</w:t>
      </w:r>
      <w:r>
        <w:t xml:space="preserve"> est attribué à chaque personne par l’organisme responsable de la source de données. Ce code est différent du numéro d’identification utilisé par l’organisme dans ses</w:t>
      </w:r>
      <w:r w:rsidR="004669DE">
        <w:t xml:space="preserve"> propres </w:t>
      </w:r>
      <w:r>
        <w:t xml:space="preserve">bases de données. L’organisme conserve une liste permettant de relier le numéro d’identification et le </w:t>
      </w:r>
      <w:r w:rsidR="004669DE">
        <w:t>pseudonyme</w:t>
      </w:r>
      <w:r>
        <w:t>. Elle est complétée à chaque nouvelle livraison de données à l’</w:t>
      </w:r>
      <w:r w:rsidR="00903EBA">
        <w:t>Institut</w:t>
      </w:r>
      <w:r>
        <w:t>. Cette liste n’est pas transmise à l’</w:t>
      </w:r>
      <w:r w:rsidR="00903EBA">
        <w:t>Institut</w:t>
      </w:r>
      <w:r>
        <w:t>.</w:t>
      </w:r>
    </w:p>
    <w:p w14:paraId="2491E029" w14:textId="77777777" w:rsidR="007B7275" w:rsidRDefault="004669DE" w:rsidP="008D6650">
      <w:pPr>
        <w:jc w:val="both"/>
      </w:pPr>
      <w:r>
        <w:t>Le pseudonyme</w:t>
      </w:r>
      <w:r w:rsidR="007B7275">
        <w:t xml:space="preserve"> unique (code personne) est composé de trois parties codées sur 16 caractères alphanumériques :</w:t>
      </w:r>
    </w:p>
    <w:p w14:paraId="0B513F6B" w14:textId="77777777" w:rsidR="007B7275" w:rsidRDefault="007B7275" w:rsidP="00DA4183">
      <w:pPr>
        <w:pStyle w:val="Paragraphedeliste"/>
        <w:numPr>
          <w:ilvl w:val="0"/>
          <w:numId w:val="11"/>
        </w:numPr>
        <w:jc w:val="both"/>
      </w:pPr>
      <w:r>
        <w:t>1ère partie : « xxx- » pour identifier la source ;</w:t>
      </w:r>
    </w:p>
    <w:p w14:paraId="46FA9A07" w14:textId="77777777" w:rsidR="007B7275" w:rsidRPr="00415002" w:rsidRDefault="007B7275" w:rsidP="00DA4183">
      <w:pPr>
        <w:pStyle w:val="Paragraphedeliste"/>
        <w:numPr>
          <w:ilvl w:val="0"/>
          <w:numId w:val="11"/>
        </w:numPr>
        <w:jc w:val="both"/>
      </w:pPr>
      <w:r w:rsidRPr="00415002">
        <w:t>2ème partie : année de première identification de la personne codée sur 4 caractères ;</w:t>
      </w:r>
    </w:p>
    <w:p w14:paraId="16F3D430" w14:textId="77777777" w:rsidR="007B7275" w:rsidRDefault="007B7275" w:rsidP="00DA4183">
      <w:pPr>
        <w:pStyle w:val="Paragraphedeliste"/>
        <w:numPr>
          <w:ilvl w:val="0"/>
          <w:numId w:val="11"/>
        </w:numPr>
        <w:jc w:val="both"/>
      </w:pPr>
      <w:r>
        <w:t>3ème partie : numéro d’identifiants fonctionnant sur un principe d’incrémentation codé sur 8 caractères ;</w:t>
      </w:r>
    </w:p>
    <w:p w14:paraId="23200085" w14:textId="77777777" w:rsidR="007B7275" w:rsidRDefault="007B7275" w:rsidP="008D6650">
      <w:pPr>
        <w:jc w:val="both"/>
      </w:pPr>
      <w:r>
        <w:t>Exemple : 34G-201200001413</w:t>
      </w:r>
    </w:p>
    <w:p w14:paraId="1DC0A1F2" w14:textId="77777777" w:rsidR="006168EE" w:rsidRPr="006168EE" w:rsidRDefault="006168EE" w:rsidP="008D6650">
      <w:pPr>
        <w:jc w:val="both"/>
      </w:pPr>
    </w:p>
    <w:p w14:paraId="02117A2A" w14:textId="77777777" w:rsidR="008543B6" w:rsidRDefault="008543B6" w:rsidP="008D6650">
      <w:pPr>
        <w:pStyle w:val="Titre2"/>
        <w:jc w:val="both"/>
      </w:pPr>
      <w:bookmarkStart w:id="61" w:name="_Toc161759410"/>
      <w:r>
        <w:t>Hébergement et sécurité de la base de données</w:t>
      </w:r>
      <w:r w:rsidR="00396C33">
        <w:t xml:space="preserve"> (Support de données)</w:t>
      </w:r>
      <w:bookmarkEnd w:id="61"/>
    </w:p>
    <w:p w14:paraId="7388480A" w14:textId="77777777" w:rsidR="008543B6" w:rsidRDefault="008543B6" w:rsidP="008D6650">
      <w:pPr>
        <w:jc w:val="both"/>
      </w:pPr>
      <w:r w:rsidRPr="0095018D">
        <w:t>Le système d’information de la plateforme de données en cancérologie a été homologué (décision n°</w:t>
      </w:r>
      <w:r w:rsidR="00656C1E" w:rsidRPr="0095018D">
        <w:t>2023-27 du 3 avril 2023</w:t>
      </w:r>
      <w:r w:rsidR="00E639B0" w:rsidRPr="0095018D">
        <w:t xml:space="preserve"> </w:t>
      </w:r>
      <w:r w:rsidRPr="0095018D">
        <w:t>de l’autorité d’homologation de l’Institut national du cancer portant homologation du système d’information intitulé « Plateforme des données en cancérologie »). Toute personne accédant à la plateforme signe un document l’engageant, conformément notamment à l’article 32 du Règlement</w:t>
      </w:r>
      <w:r>
        <w:t xml:space="preserve"> général sur la protection des données à prendre toutes précautions utiles dans le cadre de ses missions afin de protéger la confidentialité des informations auxquelles il a accès, et en particulier d’empêcher qu’elles ne soient modifiées, endommagées ou communiquées à des personnes non expressément autorisées à recevoir ces informations.</w:t>
      </w:r>
    </w:p>
    <w:p w14:paraId="4E409CF9" w14:textId="77777777" w:rsidR="00B50B75" w:rsidRPr="00064C78" w:rsidRDefault="00656C1E" w:rsidP="008D6650">
      <w:pPr>
        <w:jc w:val="both"/>
      </w:pPr>
      <w:r>
        <w:t>La plateforme est</w:t>
      </w:r>
      <w:r w:rsidR="00B50B75" w:rsidRPr="007A102D">
        <w:t xml:space="preserve"> hébergé</w:t>
      </w:r>
      <w:r>
        <w:t>e</w:t>
      </w:r>
      <w:r w:rsidR="00B50B75" w:rsidRPr="007A102D">
        <w:t xml:space="preserve"> </w:t>
      </w:r>
      <w:r>
        <w:t>chez un hébergeur</w:t>
      </w:r>
      <w:r w:rsidR="00B50B75" w:rsidRPr="007A102D">
        <w:t xml:space="preserve"> de données de santé (HDS) intégrant la sphère «</w:t>
      </w:r>
      <w:r w:rsidR="00B50B75" w:rsidRPr="007A102D">
        <w:rPr>
          <w:rFonts w:ascii="Courier New" w:hAnsi="Courier New" w:cs="Courier New"/>
        </w:rPr>
        <w:t> </w:t>
      </w:r>
      <w:r w:rsidR="00B50B75" w:rsidRPr="007A102D">
        <w:t>hébergement souverain européen</w:t>
      </w:r>
      <w:r w:rsidR="00B50B75" w:rsidRPr="007A102D">
        <w:rPr>
          <w:rFonts w:ascii="Courier New" w:hAnsi="Courier New" w:cs="Courier New"/>
        </w:rPr>
        <w:t> </w:t>
      </w:r>
      <w:r w:rsidR="00B50B75" w:rsidRPr="007A102D">
        <w:t>» (Circulaire n° 6282-SG du 5 juillet 2021 relative à la doctrine d’utilisation de l’informatique en nuage par l’État) et SNDS.</w:t>
      </w:r>
    </w:p>
    <w:p w14:paraId="1FD2D83F" w14:textId="77777777" w:rsidR="008543B6" w:rsidRDefault="008543B6" w:rsidP="008D6650">
      <w:pPr>
        <w:pStyle w:val="Titre2"/>
        <w:jc w:val="both"/>
      </w:pPr>
      <w:bookmarkStart w:id="62" w:name="_Toc161759411"/>
      <w:r>
        <w:t>Circuit des données à caractères personnels et modalité de protection de leur confidentialité</w:t>
      </w:r>
      <w:bookmarkEnd w:id="62"/>
    </w:p>
    <w:p w14:paraId="76BEAFEA" w14:textId="36DEDE37" w:rsidR="00B50B75" w:rsidRPr="007A102D" w:rsidRDefault="00B50B75" w:rsidP="008D6650">
      <w:pPr>
        <w:jc w:val="both"/>
      </w:pPr>
      <w:r>
        <w:t>L</w:t>
      </w:r>
      <w:r w:rsidRPr="007A102D">
        <w:t xml:space="preserve">es analyses sont réalisées sur la plateforme de donnés en cancérologie </w:t>
      </w:r>
      <w:r w:rsidR="00656C1E">
        <w:t>de</w:t>
      </w:r>
      <w:r w:rsidRPr="007A102D">
        <w:t xml:space="preserve"> </w:t>
      </w:r>
      <w:r w:rsidR="00903EBA">
        <w:t>Institut.</w:t>
      </w:r>
    </w:p>
    <w:p w14:paraId="0C6FABB5" w14:textId="77777777" w:rsidR="008543B6" w:rsidRDefault="008543B6" w:rsidP="008D6650">
      <w:pPr>
        <w:jc w:val="both"/>
      </w:pPr>
      <w:r>
        <w:t>Aucun export de données autres que des données agrégées sous forme de résultats ne pourra être réalisé.</w:t>
      </w:r>
    </w:p>
    <w:p w14:paraId="331AF06F" w14:textId="77777777" w:rsidR="008543B6" w:rsidRDefault="008543B6" w:rsidP="008D6650">
      <w:pPr>
        <w:jc w:val="both"/>
        <w:rPr>
          <w:i/>
        </w:rPr>
      </w:pPr>
      <w:r w:rsidRPr="002D149D">
        <w:rPr>
          <w:i/>
          <w:highlight w:val="yellow"/>
        </w:rPr>
        <w:t xml:space="preserve">Section à adapter </w:t>
      </w:r>
      <w:r w:rsidR="001C16C3">
        <w:rPr>
          <w:i/>
          <w:highlight w:val="yellow"/>
        </w:rPr>
        <w:t xml:space="preserve">ou supprimer </w:t>
      </w:r>
      <w:r w:rsidRPr="002D149D">
        <w:rPr>
          <w:i/>
          <w:highlight w:val="yellow"/>
        </w:rPr>
        <w:t>en cas de chaînage entre différentes sources d’information</w:t>
      </w:r>
    </w:p>
    <w:p w14:paraId="2B869636" w14:textId="77777777" w:rsidR="008543B6" w:rsidRDefault="008543B6" w:rsidP="008D6650">
      <w:pPr>
        <w:pStyle w:val="Titre3"/>
        <w:jc w:val="both"/>
      </w:pPr>
      <w:bookmarkStart w:id="63" w:name="_Toc161759412"/>
      <w:r w:rsidRPr="00C72CEB">
        <w:t>Circuit des données</w:t>
      </w:r>
      <w:bookmarkEnd w:id="63"/>
    </w:p>
    <w:p w14:paraId="653D5ED2" w14:textId="77777777" w:rsidR="00C76768" w:rsidRDefault="00C76768" w:rsidP="00C76768">
      <w:pPr>
        <w:jc w:val="both"/>
      </w:pPr>
      <w:r>
        <w:t>L’intégration des données d’accès précoce dans la PDC suit le schéma suivant</w:t>
      </w:r>
      <w:r>
        <w:rPr>
          <w:rFonts w:ascii="Cambria" w:hAnsi="Cambria" w:cs="Cambria"/>
        </w:rPr>
        <w:t> </w:t>
      </w:r>
      <w:r>
        <w:t>:</w:t>
      </w:r>
    </w:p>
    <w:p w14:paraId="7E6B89E2" w14:textId="77777777" w:rsidR="00C76768" w:rsidRPr="00B07A30" w:rsidRDefault="00C76768" w:rsidP="00DA4183">
      <w:pPr>
        <w:pStyle w:val="Paragraphedeliste"/>
        <w:numPr>
          <w:ilvl w:val="0"/>
          <w:numId w:val="12"/>
        </w:numPr>
        <w:jc w:val="both"/>
      </w:pPr>
      <w:r w:rsidRPr="00B07A30">
        <w:t xml:space="preserve">Extraction des données à partir du système d’information (SI) </w:t>
      </w:r>
      <w:r>
        <w:t xml:space="preserve">du producteur </w:t>
      </w:r>
      <w:r w:rsidRPr="000031E2">
        <w:rPr>
          <w:highlight w:val="yellow"/>
        </w:rPr>
        <w:t>XXXXX</w:t>
      </w:r>
    </w:p>
    <w:p w14:paraId="7E959D02" w14:textId="41BAD21B" w:rsidR="00C76768" w:rsidRPr="001539FE" w:rsidRDefault="00C76768" w:rsidP="00DA4183">
      <w:pPr>
        <w:pStyle w:val="Paragraphedeliste"/>
        <w:numPr>
          <w:ilvl w:val="0"/>
          <w:numId w:val="12"/>
        </w:numPr>
        <w:jc w:val="both"/>
      </w:pPr>
      <w:r w:rsidRPr="001539FE">
        <w:t>Transmission à l’</w:t>
      </w:r>
      <w:r w:rsidR="00903EBA">
        <w:t>Institut</w:t>
      </w:r>
      <w:r>
        <w:t xml:space="preserve"> selon le protocole défini en 14.3.2</w:t>
      </w:r>
    </w:p>
    <w:p w14:paraId="4CB543F2" w14:textId="77777777" w:rsidR="00C76768" w:rsidRPr="001539FE" w:rsidRDefault="00C76768" w:rsidP="00DA4183">
      <w:pPr>
        <w:pStyle w:val="Paragraphedeliste"/>
        <w:numPr>
          <w:ilvl w:val="0"/>
          <w:numId w:val="12"/>
        </w:numPr>
        <w:jc w:val="both"/>
      </w:pPr>
      <w:r w:rsidRPr="001539FE">
        <w:t>Appariement à la plateforme de données en cancérologie</w:t>
      </w:r>
    </w:p>
    <w:p w14:paraId="60FC7C3F" w14:textId="77777777" w:rsidR="00C76768" w:rsidRPr="001539FE" w:rsidRDefault="00C76768" w:rsidP="00DA4183">
      <w:pPr>
        <w:pStyle w:val="Paragraphedeliste"/>
        <w:numPr>
          <w:ilvl w:val="0"/>
          <w:numId w:val="12"/>
        </w:numPr>
        <w:jc w:val="both"/>
      </w:pPr>
      <w:r w:rsidRPr="001539FE">
        <w:t>Validation de l’appariement</w:t>
      </w:r>
    </w:p>
    <w:p w14:paraId="513754DA" w14:textId="77777777" w:rsidR="00C76768" w:rsidRDefault="00C76768" w:rsidP="00C76768">
      <w:pPr>
        <w:jc w:val="both"/>
      </w:pPr>
      <w:r>
        <w:t xml:space="preserve">Si pour des raisons de mauvaise qualité des données l’appariement n’est pas validé, une nouvelle extraction peut être effectuée (retour à l’étape 1) et ainsi de suite jusqu’à obtention d’un appariement satisfaisant ou décision de l’équipe projet de finaliser le projet avec le groupe </w:t>
      </w:r>
      <w:r w:rsidR="009E4D83">
        <w:t>de personnes ayant pu être appa</w:t>
      </w:r>
      <w:r>
        <w:t>r</w:t>
      </w:r>
      <w:r w:rsidR="009E4D83">
        <w:t>i</w:t>
      </w:r>
      <w:r>
        <w:t>ées.</w:t>
      </w:r>
    </w:p>
    <w:p w14:paraId="52BF1279" w14:textId="77777777" w:rsidR="00C76768" w:rsidRPr="00C76768" w:rsidRDefault="00C76768" w:rsidP="009E4D83"/>
    <w:p w14:paraId="07349FA6" w14:textId="77777777" w:rsidR="008543B6" w:rsidRDefault="008543B6" w:rsidP="008D6650">
      <w:pPr>
        <w:pStyle w:val="Titre3"/>
        <w:jc w:val="both"/>
      </w:pPr>
      <w:bookmarkStart w:id="64" w:name="_Toc161759413"/>
      <w:r w:rsidRPr="00415002">
        <w:t>Trans</w:t>
      </w:r>
      <w:r w:rsidR="00AC4470">
        <w:t>mission</w:t>
      </w:r>
      <w:r w:rsidRPr="00415002">
        <w:t xml:space="preserve"> des données</w:t>
      </w:r>
      <w:bookmarkEnd w:id="64"/>
    </w:p>
    <w:p w14:paraId="08DD682B" w14:textId="77777777" w:rsidR="005226CF" w:rsidRPr="002041A9" w:rsidRDefault="005226CF" w:rsidP="005226CF">
      <w:pPr>
        <w:pStyle w:val="Puceniv01"/>
        <w:rPr>
          <w:rFonts w:asciiTheme="minorHAnsi" w:hAnsiTheme="minorHAnsi" w:cstheme="minorHAnsi"/>
          <w:sz w:val="22"/>
          <w:szCs w:val="22"/>
        </w:rPr>
      </w:pPr>
      <w:r w:rsidRPr="002041A9">
        <w:rPr>
          <w:rFonts w:asciiTheme="minorHAnsi" w:hAnsiTheme="minorHAnsi" w:cstheme="minorHAnsi"/>
          <w:sz w:val="22"/>
          <w:szCs w:val="22"/>
        </w:rPr>
        <w:t xml:space="preserve">Le transfert de données doit obligatoirement porter sur des données préalablement chiffrées et suivre les recommandations en vigueur sur le niveau de chiffrement. Actuellement le système de chiffrement asymétrique utilisé est celui de GNU </w:t>
      </w:r>
      <w:proofErr w:type="spellStart"/>
      <w:r w:rsidRPr="002041A9">
        <w:rPr>
          <w:rFonts w:asciiTheme="minorHAnsi" w:hAnsiTheme="minorHAnsi" w:cstheme="minorHAnsi"/>
          <w:sz w:val="22"/>
          <w:szCs w:val="22"/>
        </w:rPr>
        <w:t>Privacy</w:t>
      </w:r>
      <w:proofErr w:type="spellEnd"/>
      <w:r w:rsidRPr="002041A9">
        <w:rPr>
          <w:rFonts w:asciiTheme="minorHAnsi" w:hAnsiTheme="minorHAnsi" w:cstheme="minorHAnsi"/>
          <w:sz w:val="22"/>
          <w:szCs w:val="22"/>
        </w:rPr>
        <w:t xml:space="preserve"> </w:t>
      </w:r>
      <w:proofErr w:type="spellStart"/>
      <w:r w:rsidRPr="002041A9">
        <w:rPr>
          <w:rFonts w:asciiTheme="minorHAnsi" w:hAnsiTheme="minorHAnsi" w:cstheme="minorHAnsi"/>
          <w:sz w:val="22"/>
          <w:szCs w:val="22"/>
        </w:rPr>
        <w:t>Guard</w:t>
      </w:r>
      <w:proofErr w:type="spellEnd"/>
      <w:r w:rsidRPr="002041A9">
        <w:rPr>
          <w:rFonts w:asciiTheme="minorHAnsi" w:hAnsiTheme="minorHAnsi" w:cstheme="minorHAnsi"/>
          <w:sz w:val="22"/>
          <w:szCs w:val="22"/>
        </w:rPr>
        <w:t xml:space="preserve"> (GPG). Il est accessible via des outils comme « </w:t>
      </w:r>
      <w:proofErr w:type="spellStart"/>
      <w:r w:rsidRPr="002041A9">
        <w:rPr>
          <w:rFonts w:asciiTheme="minorHAnsi" w:hAnsiTheme="minorHAnsi" w:cstheme="minorHAnsi"/>
          <w:sz w:val="22"/>
          <w:szCs w:val="22"/>
        </w:rPr>
        <w:t>Kleopatra</w:t>
      </w:r>
      <w:proofErr w:type="spellEnd"/>
      <w:r w:rsidRPr="002041A9">
        <w:rPr>
          <w:rFonts w:asciiTheme="minorHAnsi" w:hAnsiTheme="minorHAnsi" w:cstheme="minorHAnsi"/>
          <w:sz w:val="22"/>
          <w:szCs w:val="22"/>
        </w:rPr>
        <w:t> » présent sur le site GPG4WIN. Le chiffrement hybride peut être utilisé pour de gros volumes de données.</w:t>
      </w:r>
    </w:p>
    <w:p w14:paraId="30F1EA53" w14:textId="371B2562" w:rsidR="005226CF" w:rsidRDefault="005226CF" w:rsidP="005226CF">
      <w:pPr>
        <w:jc w:val="both"/>
      </w:pPr>
      <w:r>
        <w:t>Les destinataires des fichiers de données sont nommément identifiés. Le déchiffrement des données sera réalisé par le département des systèmes d’information de l’</w:t>
      </w:r>
      <w:r w:rsidR="00903EBA">
        <w:t>Institut</w:t>
      </w:r>
      <w:r>
        <w:t>, puis mis à disposition des équipes traitant les données.</w:t>
      </w:r>
    </w:p>
    <w:p w14:paraId="4BB74E8A" w14:textId="77777777" w:rsidR="005226CF" w:rsidRDefault="005226CF" w:rsidP="005226CF">
      <w:pPr>
        <w:jc w:val="both"/>
      </w:pPr>
      <w:r w:rsidRPr="007367EA">
        <w:t>Le support de transfert est un disque dur externe ou un serveur FTP sécurisé ou un outil sécurisé de transfert de données en ligne selon</w:t>
      </w:r>
      <w:r>
        <w:t xml:space="preserve"> la volumétrie des données.</w:t>
      </w:r>
    </w:p>
    <w:p w14:paraId="524CDC8C" w14:textId="77777777" w:rsidR="005226CF" w:rsidRDefault="005226CF" w:rsidP="005226CF">
      <w:pPr>
        <w:jc w:val="both"/>
      </w:pPr>
      <w:r>
        <w:t>Une sauvegarde des données sources sera réalisée avant chaque intégration.</w:t>
      </w:r>
    </w:p>
    <w:p w14:paraId="69B5CD95" w14:textId="122A3929" w:rsidR="005226CF" w:rsidRDefault="005226CF" w:rsidP="005226CF">
      <w:pPr>
        <w:suppressAutoHyphens/>
        <w:spacing w:after="0" w:line="240" w:lineRule="auto"/>
        <w:contextualSpacing/>
        <w:jc w:val="both"/>
      </w:pPr>
      <w:r>
        <w:t>Le détail</w:t>
      </w:r>
      <w:r w:rsidR="009E4D83">
        <w:t xml:space="preserve"> des étapes du transfert</w:t>
      </w:r>
      <w:r>
        <w:t xml:space="preserve"> est fourni </w:t>
      </w:r>
      <w:r w:rsidR="00CA7FDD">
        <w:t>en annexe</w:t>
      </w:r>
      <w:r>
        <w:t>.</w:t>
      </w:r>
    </w:p>
    <w:p w14:paraId="7E9CCE74" w14:textId="77777777" w:rsidR="005226CF" w:rsidRDefault="005226CF" w:rsidP="005226CF">
      <w:pPr>
        <w:suppressAutoHyphens/>
        <w:spacing w:after="0" w:line="240" w:lineRule="auto"/>
        <w:contextualSpacing/>
        <w:jc w:val="both"/>
      </w:pPr>
    </w:p>
    <w:p w14:paraId="60A9259C" w14:textId="77777777" w:rsidR="005226CF" w:rsidRPr="005226CF" w:rsidRDefault="005226CF" w:rsidP="009E4D83"/>
    <w:p w14:paraId="5414BA0C" w14:textId="77777777" w:rsidR="008543B6" w:rsidRPr="00415002" w:rsidRDefault="008543B6" w:rsidP="008D6650">
      <w:pPr>
        <w:pStyle w:val="Titre3"/>
        <w:jc w:val="both"/>
      </w:pPr>
      <w:bookmarkStart w:id="65" w:name="_Toc161759414"/>
      <w:r w:rsidRPr="00415002">
        <w:t>Intégration des données</w:t>
      </w:r>
      <w:bookmarkEnd w:id="65"/>
    </w:p>
    <w:p w14:paraId="3A32392C" w14:textId="77777777" w:rsidR="008543B6" w:rsidRPr="00064C78" w:rsidRDefault="008543B6" w:rsidP="008D6650">
      <w:pPr>
        <w:jc w:val="both"/>
      </w:pPr>
      <w:r>
        <w:t>Une fois mises à disposition dans un espace de production, les données seront nettoyées et intégrées en base en lecture seule pour les utilisateurs.</w:t>
      </w:r>
      <w:r w:rsidRPr="00DB3AE1">
        <w:t xml:space="preserve"> </w:t>
      </w:r>
      <w:r>
        <w:t xml:space="preserve">Ces étapes incluent une procédure de recette </w:t>
      </w:r>
      <w:r w:rsidR="001B548C">
        <w:t xml:space="preserve">(tests d’acceptation) </w:t>
      </w:r>
      <w:r>
        <w:t>portant sur la qualité des données (vérification des volumétries, contrôles de cohérence, recherche de valeurs aberrantes…).</w:t>
      </w:r>
    </w:p>
    <w:p w14:paraId="33C82C85" w14:textId="77777777" w:rsidR="008543B6" w:rsidRDefault="008543B6" w:rsidP="008D6650">
      <w:pPr>
        <w:jc w:val="both"/>
      </w:pPr>
      <w:r>
        <w:t>Les données une fois intégrées et nettoyées seront sauvegardées.</w:t>
      </w:r>
    </w:p>
    <w:p w14:paraId="2160B47F" w14:textId="77777777" w:rsidR="009A2A99" w:rsidRPr="009A2A99" w:rsidRDefault="009A2A99" w:rsidP="008D6650">
      <w:pPr>
        <w:pStyle w:val="Titre2"/>
        <w:tabs>
          <w:tab w:val="num" w:pos="993"/>
        </w:tabs>
        <w:jc w:val="both"/>
      </w:pPr>
      <w:bookmarkStart w:id="66" w:name="_Toc161759415"/>
      <w:r>
        <w:t>Transfert des données de l’étude</w:t>
      </w:r>
      <w:bookmarkEnd w:id="66"/>
    </w:p>
    <w:p w14:paraId="15F93F3C" w14:textId="77777777" w:rsidR="008543B6" w:rsidRDefault="009A2A99" w:rsidP="008D6650">
      <w:pPr>
        <w:jc w:val="both"/>
      </w:pPr>
      <w:r>
        <w:t>Les données de l’étude ne seront pas transférées (pas de transfert en dehors de l’Union Européenne).</w:t>
      </w:r>
    </w:p>
    <w:p w14:paraId="15FBA522" w14:textId="77777777" w:rsidR="009A2A99" w:rsidRDefault="00A61680" w:rsidP="008D6650">
      <w:pPr>
        <w:pStyle w:val="Titre1"/>
        <w:jc w:val="both"/>
      </w:pPr>
      <w:bookmarkStart w:id="67" w:name="_Toc161759416"/>
      <w:r w:rsidRPr="00F6165E">
        <w:t>Bibliographie</w:t>
      </w:r>
      <w:bookmarkEnd w:id="67"/>
    </w:p>
    <w:p w14:paraId="71FAD600" w14:textId="77777777" w:rsidR="00B54C8C" w:rsidRDefault="00B54C8C" w:rsidP="008D6650">
      <w:pPr>
        <w:jc w:val="both"/>
      </w:pPr>
    </w:p>
    <w:p w14:paraId="33B24EBE" w14:textId="77777777" w:rsidR="00913A06" w:rsidRDefault="00913A06">
      <w:pPr>
        <w:spacing w:after="0" w:line="240" w:lineRule="auto"/>
        <w:rPr>
          <w:rFonts w:ascii="Marianne" w:eastAsia="MS Mincho" w:hAnsi="Marianne" w:cs="Arial"/>
          <w:b/>
          <w:bCs/>
          <w:caps/>
          <w:color w:val="0070C0"/>
          <w:spacing w:val="20"/>
          <w:sz w:val="32"/>
          <w:szCs w:val="40"/>
        </w:rPr>
      </w:pPr>
      <w:r>
        <w:br w:type="page"/>
      </w:r>
    </w:p>
    <w:p w14:paraId="308687AA" w14:textId="77777777" w:rsidR="00060837" w:rsidRDefault="00F43796" w:rsidP="00060837">
      <w:pPr>
        <w:pStyle w:val="Titre1"/>
        <w:numPr>
          <w:ilvl w:val="0"/>
          <w:numId w:val="0"/>
        </w:numPr>
        <w:jc w:val="both"/>
      </w:pPr>
      <w:bookmarkStart w:id="68" w:name="_Toc161759417"/>
      <w:r>
        <w:t>Annexes</w:t>
      </w:r>
      <w:bookmarkStart w:id="69" w:name="_Toc161759418"/>
      <w:bookmarkStart w:id="70" w:name="_Toc161046343"/>
      <w:bookmarkStart w:id="71" w:name="_Toc161407063"/>
      <w:bookmarkEnd w:id="68"/>
    </w:p>
    <w:p w14:paraId="719ACD88" w14:textId="3F2D4D19" w:rsidR="00AB530C" w:rsidRDefault="00AB530C">
      <w:pPr>
        <w:spacing w:after="0" w:line="240" w:lineRule="auto"/>
      </w:pPr>
      <w:bookmarkStart w:id="72" w:name="_Toc161759419"/>
      <w:bookmarkStart w:id="73" w:name="_GoBack"/>
      <w:bookmarkEnd w:id="69"/>
      <w:bookmarkEnd w:id="70"/>
      <w:bookmarkEnd w:id="71"/>
      <w:bookmarkEnd w:id="73"/>
    </w:p>
    <w:p w14:paraId="71F8A99D" w14:textId="064A3238" w:rsidR="009B21EA" w:rsidRDefault="006E0A0A" w:rsidP="008D6583">
      <w:pPr>
        <w:pStyle w:val="Titre4"/>
      </w:pPr>
      <w:r w:rsidRPr="00F6165E">
        <w:t>Présentation de la plateforme de données en cancérologie</w:t>
      </w:r>
      <w:bookmarkEnd w:id="72"/>
    </w:p>
    <w:tbl>
      <w:tblPr>
        <w:tblW w:w="9106" w:type="dxa"/>
        <w:tblLook w:val="04A0" w:firstRow="1" w:lastRow="0" w:firstColumn="1" w:lastColumn="0" w:noHBand="0" w:noVBand="1"/>
      </w:tblPr>
      <w:tblGrid>
        <w:gridCol w:w="3828"/>
        <w:gridCol w:w="5278"/>
      </w:tblGrid>
      <w:tr w:rsidR="00363D01" w14:paraId="502A3A4B" w14:textId="77777777" w:rsidTr="00363D01">
        <w:tc>
          <w:tcPr>
            <w:tcW w:w="3828" w:type="dxa"/>
            <w:vAlign w:val="center"/>
          </w:tcPr>
          <w:p w14:paraId="08BA90B1" w14:textId="77777777" w:rsidR="00363D01" w:rsidRPr="00363D01" w:rsidRDefault="00822B33" w:rsidP="008D6650">
            <w:pPr>
              <w:jc w:val="both"/>
              <w:rPr>
                <w:sz w:val="32"/>
                <w:szCs w:val="32"/>
              </w:rPr>
            </w:pPr>
            <w:r w:rsidRPr="00FB54F4">
              <w:rPr>
                <w:noProof/>
                <w:lang w:eastAsia="fr-FR"/>
              </w:rPr>
              <w:drawing>
                <wp:inline distT="0" distB="0" distL="0" distR="0" wp14:anchorId="30316EF6" wp14:editId="737A996C">
                  <wp:extent cx="829310" cy="723265"/>
                  <wp:effectExtent l="0" t="0" r="0" b="0"/>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6">
                            <a:extLst>
                              <a:ext uri="{28A0092B-C50C-407E-A947-70E740481C1C}">
                                <a14:useLocalDpi xmlns:a14="http://schemas.microsoft.com/office/drawing/2010/main" val="0"/>
                              </a:ext>
                            </a:extLst>
                          </a:blip>
                          <a:srcRect b="12419"/>
                          <a:stretch>
                            <a:fillRect/>
                          </a:stretch>
                        </pic:blipFill>
                        <pic:spPr bwMode="gray">
                          <a:xfrm>
                            <a:off x="0" y="0"/>
                            <a:ext cx="829310" cy="723265"/>
                          </a:xfrm>
                          <a:prstGeom prst="rect">
                            <a:avLst/>
                          </a:prstGeom>
                          <a:noFill/>
                          <a:ln>
                            <a:noFill/>
                          </a:ln>
                        </pic:spPr>
                      </pic:pic>
                    </a:graphicData>
                  </a:graphic>
                </wp:inline>
              </w:drawing>
            </w:r>
            <w:r w:rsidR="00363D01">
              <w:rPr>
                <w:sz w:val="32"/>
                <w:szCs w:val="32"/>
              </w:rPr>
              <w:t xml:space="preserve"> </w:t>
            </w:r>
            <w:r w:rsidRPr="006E324C">
              <w:rPr>
                <w:noProof/>
                <w:lang w:eastAsia="fr-FR"/>
              </w:rPr>
              <w:drawing>
                <wp:inline distT="0" distB="0" distL="0" distR="0" wp14:anchorId="415CBE11" wp14:editId="5998F0C7">
                  <wp:extent cx="1308100" cy="638175"/>
                  <wp:effectExtent l="0" t="0" r="0" b="0"/>
                  <wp:docPr id="13" name="Image 1" descr="http://interne.e-cancer.fr/images/stories/INCaNet/INCaNet/nouveau-logo-inca_20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http://interne.e-cancer.fr/images/stories/INCaNet/INCaNet/nouveau-logo-inca_2015.jpg"/>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0" cy="638175"/>
                          </a:xfrm>
                          <a:prstGeom prst="rect">
                            <a:avLst/>
                          </a:prstGeom>
                          <a:noFill/>
                          <a:ln>
                            <a:noFill/>
                          </a:ln>
                        </pic:spPr>
                      </pic:pic>
                    </a:graphicData>
                  </a:graphic>
                </wp:inline>
              </w:drawing>
            </w:r>
          </w:p>
        </w:tc>
        <w:tc>
          <w:tcPr>
            <w:tcW w:w="5278" w:type="dxa"/>
            <w:vMerge w:val="restart"/>
            <w:vAlign w:val="center"/>
          </w:tcPr>
          <w:p w14:paraId="784D7FBC" w14:textId="77777777" w:rsidR="00363D01" w:rsidRPr="00822B33" w:rsidRDefault="00363D01" w:rsidP="008D6650">
            <w:pPr>
              <w:jc w:val="both"/>
              <w:rPr>
                <w:rFonts w:ascii="Cambria" w:hAnsi="Cambria"/>
                <w:b/>
                <w:color w:val="365F91"/>
                <w:sz w:val="40"/>
                <w:szCs w:val="40"/>
              </w:rPr>
            </w:pPr>
            <w:r w:rsidRPr="00822B33">
              <w:rPr>
                <w:rFonts w:ascii="Cambria" w:hAnsi="Cambria"/>
                <w:b/>
                <w:color w:val="365F91"/>
                <w:sz w:val="40"/>
                <w:szCs w:val="40"/>
              </w:rPr>
              <w:t>La Plateforme de données en cancérologie</w:t>
            </w:r>
          </w:p>
        </w:tc>
      </w:tr>
      <w:tr w:rsidR="00363D01" w14:paraId="56401FDE" w14:textId="77777777" w:rsidTr="00363D01">
        <w:tc>
          <w:tcPr>
            <w:tcW w:w="3828" w:type="dxa"/>
          </w:tcPr>
          <w:p w14:paraId="7F0B37C4" w14:textId="77777777" w:rsidR="00363D01" w:rsidRPr="00D276E9" w:rsidRDefault="00363D01" w:rsidP="008D6650">
            <w:pPr>
              <w:jc w:val="both"/>
              <w:rPr>
                <w:noProof/>
              </w:rPr>
            </w:pPr>
            <w:r w:rsidRPr="00822B33">
              <w:rPr>
                <w:b/>
                <w:color w:val="808080"/>
              </w:rPr>
              <w:t>Direction de l’Observation, des Sciences des données et de l’Évaluation</w:t>
            </w:r>
          </w:p>
        </w:tc>
        <w:tc>
          <w:tcPr>
            <w:tcW w:w="5278" w:type="dxa"/>
            <w:vMerge/>
            <w:vAlign w:val="center"/>
          </w:tcPr>
          <w:p w14:paraId="6C676950" w14:textId="77777777" w:rsidR="00363D01" w:rsidRPr="00822B33" w:rsidRDefault="00363D01" w:rsidP="008D6650">
            <w:pPr>
              <w:jc w:val="both"/>
              <w:rPr>
                <w:rFonts w:ascii="Cambria" w:hAnsi="Cambria"/>
                <w:b/>
                <w:color w:val="365F91"/>
                <w:sz w:val="40"/>
                <w:szCs w:val="40"/>
              </w:rPr>
            </w:pPr>
          </w:p>
        </w:tc>
      </w:tr>
    </w:tbl>
    <w:p w14:paraId="75136096" w14:textId="77777777" w:rsidR="00A77076" w:rsidRDefault="00A77076" w:rsidP="008D6650">
      <w:pPr>
        <w:jc w:val="both"/>
      </w:pPr>
    </w:p>
    <w:p w14:paraId="036D4BA3" w14:textId="77777777" w:rsidR="006E0A0A" w:rsidRPr="006E0A0A" w:rsidRDefault="006E0A0A" w:rsidP="008D6650">
      <w:pPr>
        <w:jc w:val="both"/>
      </w:pPr>
      <w:r w:rsidRPr="006E0A0A">
        <w:t>La plateforme de données permet de regrouper les données issues de différents producteurs de données, tout en sécurisant les outils de productions dans le respect des nouvelles exigences règlementaires, et en mettant à disposition les outils nécessaires à leur exploitation.</w:t>
      </w:r>
    </w:p>
    <w:p w14:paraId="12FB6A7C" w14:textId="00BC6F5E" w:rsidR="006E0A0A" w:rsidRPr="00913A06" w:rsidRDefault="006E0A0A" w:rsidP="00656C1E">
      <w:pPr>
        <w:jc w:val="both"/>
        <w:rPr>
          <w:rFonts w:cstheme="minorHAnsi"/>
        </w:rPr>
      </w:pPr>
      <w:r w:rsidRPr="006E0A0A">
        <w:t>Actuellement l’</w:t>
      </w:r>
      <w:r w:rsidR="00903EBA">
        <w:t>Institut</w:t>
      </w:r>
      <w:r w:rsidRPr="006E0A0A">
        <w:t xml:space="preserve"> </w:t>
      </w:r>
      <w:r w:rsidRPr="00913A06">
        <w:rPr>
          <w:rFonts w:cstheme="minorHAnsi"/>
        </w:rPr>
        <w:t xml:space="preserve">dispose d’un entrepôt de données homologué Système national des données de santé (SNDS) et regroupant des données du SNDS, </w:t>
      </w:r>
      <w:r w:rsidR="00656C1E" w:rsidRPr="00913A06">
        <w:rPr>
          <w:rFonts w:cstheme="minorHAnsi"/>
        </w:rPr>
        <w:t xml:space="preserve">et </w:t>
      </w:r>
      <w:r w:rsidRPr="00913A06">
        <w:rPr>
          <w:rFonts w:cstheme="minorHAnsi"/>
        </w:rPr>
        <w:t>des registres des cancers</w:t>
      </w:r>
    </w:p>
    <w:p w14:paraId="5230C859" w14:textId="77777777" w:rsidR="00656C1E" w:rsidRPr="00913A06" w:rsidRDefault="00656C1E" w:rsidP="008D6650">
      <w:pPr>
        <w:jc w:val="both"/>
        <w:rPr>
          <w:rFonts w:cstheme="minorHAnsi"/>
          <w:szCs w:val="20"/>
        </w:rPr>
      </w:pPr>
      <w:r w:rsidRPr="00913A06">
        <w:rPr>
          <w:rFonts w:cstheme="minorHAnsi"/>
          <w:szCs w:val="20"/>
        </w:rPr>
        <w:t>L’Institut est par ailleurs autorisé à enrichir la plateforme avec :</w:t>
      </w:r>
    </w:p>
    <w:p w14:paraId="3482EC1A" w14:textId="77777777" w:rsidR="00656C1E" w:rsidRPr="00913A06" w:rsidRDefault="00656C1E" w:rsidP="00DA4183">
      <w:pPr>
        <w:pStyle w:val="NormalWeb"/>
        <w:numPr>
          <w:ilvl w:val="0"/>
          <w:numId w:val="23"/>
        </w:numPr>
        <w:shd w:val="clear" w:color="auto" w:fill="FFFFFF"/>
        <w:spacing w:before="75" w:after="225" w:line="240" w:lineRule="auto"/>
        <w:jc w:val="both"/>
        <w:rPr>
          <w:rFonts w:asciiTheme="minorHAnsi" w:hAnsiTheme="minorHAnsi" w:cstheme="minorHAnsi"/>
          <w:color w:val="191919"/>
          <w:szCs w:val="20"/>
        </w:rPr>
      </w:pPr>
      <w:r w:rsidRPr="00913A06">
        <w:rPr>
          <w:rFonts w:asciiTheme="minorHAnsi" w:hAnsiTheme="minorHAnsi" w:cstheme="minorHAnsi"/>
          <w:color w:val="191919"/>
          <w:szCs w:val="20"/>
        </w:rPr>
        <w:t>des données issues des </w:t>
      </w:r>
      <w:hyperlink r:id="rId18" w:tgtFrame="_blank" w:tooltip="Lien vers notre rubrique Dépistage dédiée aux professionnels de santé" w:history="1">
        <w:r w:rsidRPr="00913A06">
          <w:rPr>
            <w:rStyle w:val="Lienhypertexte"/>
            <w:rFonts w:asciiTheme="minorHAnsi" w:hAnsiTheme="minorHAnsi" w:cstheme="minorHAnsi"/>
            <w:color w:val="797676"/>
            <w:szCs w:val="20"/>
          </w:rPr>
          <w:t>dépistages organisés</w:t>
        </w:r>
      </w:hyperlink>
      <w:r w:rsidRPr="00913A06">
        <w:rPr>
          <w:rFonts w:asciiTheme="minorHAnsi" w:hAnsiTheme="minorHAnsi" w:cstheme="minorHAnsi"/>
          <w:color w:val="191919"/>
          <w:szCs w:val="20"/>
        </w:rPr>
        <w:t> du cancer du sein, du cancer colorectal et du cancer du col de l’utérus issues des Centres régionaux de coordination des dépistages des cancers (CRCDC). Ces données seront intégrées à la Plateforme lorsqu’un système uniformisé de gestion des données aura été créé.</w:t>
      </w:r>
    </w:p>
    <w:p w14:paraId="1DA87F42" w14:textId="77777777" w:rsidR="00656C1E" w:rsidRPr="00913A06" w:rsidRDefault="00656C1E" w:rsidP="00DA4183">
      <w:pPr>
        <w:pStyle w:val="NormalWeb"/>
        <w:numPr>
          <w:ilvl w:val="0"/>
          <w:numId w:val="23"/>
        </w:numPr>
        <w:shd w:val="clear" w:color="auto" w:fill="FFFFFF"/>
        <w:spacing w:before="75" w:after="225" w:line="240" w:lineRule="auto"/>
        <w:jc w:val="both"/>
        <w:rPr>
          <w:rFonts w:asciiTheme="minorHAnsi" w:hAnsiTheme="minorHAnsi" w:cstheme="minorHAnsi"/>
          <w:color w:val="191919"/>
          <w:szCs w:val="20"/>
        </w:rPr>
      </w:pPr>
      <w:r w:rsidRPr="00913A06">
        <w:rPr>
          <w:rFonts w:asciiTheme="minorHAnsi" w:hAnsiTheme="minorHAnsi" w:cstheme="minorHAnsi"/>
          <w:color w:val="191919"/>
          <w:szCs w:val="20"/>
        </w:rPr>
        <w:t>Des données issues des dossiers médicaux composant le dossier communiquant de cancérologie (</w:t>
      </w:r>
      <w:proofErr w:type="spellStart"/>
      <w:r w:rsidRPr="00913A06">
        <w:rPr>
          <w:rFonts w:asciiTheme="minorHAnsi" w:hAnsiTheme="minorHAnsi" w:cstheme="minorHAnsi"/>
          <w:color w:val="191919"/>
          <w:szCs w:val="20"/>
        </w:rPr>
        <w:t>comptes-rendus</w:t>
      </w:r>
      <w:proofErr w:type="spellEnd"/>
      <w:r w:rsidRPr="00913A06">
        <w:rPr>
          <w:rFonts w:asciiTheme="minorHAnsi" w:hAnsiTheme="minorHAnsi" w:cstheme="minorHAnsi"/>
          <w:color w:val="191919"/>
          <w:szCs w:val="20"/>
        </w:rPr>
        <w:t xml:space="preserve"> d’</w:t>
      </w:r>
      <w:proofErr w:type="spellStart"/>
      <w:r w:rsidRPr="00913A06">
        <w:rPr>
          <w:rFonts w:asciiTheme="minorHAnsi" w:hAnsiTheme="minorHAnsi" w:cstheme="minorHAnsi"/>
          <w:color w:val="191919"/>
          <w:szCs w:val="20"/>
        </w:rPr>
        <w:t>anatomocytopathologie</w:t>
      </w:r>
      <w:proofErr w:type="spellEnd"/>
      <w:r w:rsidRPr="00913A06">
        <w:rPr>
          <w:rFonts w:asciiTheme="minorHAnsi" w:hAnsiTheme="minorHAnsi" w:cstheme="minorHAnsi"/>
          <w:color w:val="191919"/>
          <w:szCs w:val="20"/>
        </w:rPr>
        <w:t xml:space="preserve">, </w:t>
      </w:r>
      <w:proofErr w:type="spellStart"/>
      <w:r w:rsidRPr="00913A06">
        <w:rPr>
          <w:rFonts w:asciiTheme="minorHAnsi" w:hAnsiTheme="minorHAnsi" w:cstheme="minorHAnsi"/>
          <w:color w:val="191919"/>
          <w:szCs w:val="20"/>
        </w:rPr>
        <w:t>comptes-rendus</w:t>
      </w:r>
      <w:proofErr w:type="spellEnd"/>
      <w:r w:rsidRPr="00913A06">
        <w:rPr>
          <w:rFonts w:asciiTheme="minorHAnsi" w:hAnsiTheme="minorHAnsi" w:cstheme="minorHAnsi"/>
          <w:color w:val="191919"/>
          <w:szCs w:val="20"/>
        </w:rPr>
        <w:t xml:space="preserve"> de génétique moléculaire, fiches RCP, Programme personnalisé de soins, Programme personnalisé après cancer) ;</w:t>
      </w:r>
    </w:p>
    <w:p w14:paraId="6426CA56" w14:textId="77777777" w:rsidR="00656C1E" w:rsidRPr="00913A06" w:rsidRDefault="00656C1E" w:rsidP="00DA4183">
      <w:pPr>
        <w:pStyle w:val="NormalWeb"/>
        <w:numPr>
          <w:ilvl w:val="0"/>
          <w:numId w:val="23"/>
        </w:numPr>
        <w:shd w:val="clear" w:color="auto" w:fill="FFFFFF"/>
        <w:spacing w:before="75" w:after="225" w:line="240" w:lineRule="auto"/>
        <w:jc w:val="both"/>
        <w:rPr>
          <w:rFonts w:asciiTheme="minorHAnsi" w:hAnsiTheme="minorHAnsi" w:cstheme="minorHAnsi"/>
          <w:color w:val="191919"/>
          <w:szCs w:val="20"/>
        </w:rPr>
      </w:pPr>
      <w:r w:rsidRPr="00913A06">
        <w:rPr>
          <w:rFonts w:asciiTheme="minorHAnsi" w:hAnsiTheme="minorHAnsi" w:cstheme="minorHAnsi"/>
          <w:color w:val="191919"/>
          <w:szCs w:val="20"/>
        </w:rPr>
        <w:t xml:space="preserve">Des données issues de la base </w:t>
      </w:r>
      <w:proofErr w:type="spellStart"/>
      <w:r w:rsidRPr="00913A06">
        <w:rPr>
          <w:rFonts w:asciiTheme="minorHAnsi" w:hAnsiTheme="minorHAnsi" w:cstheme="minorHAnsi"/>
          <w:color w:val="191919"/>
          <w:szCs w:val="20"/>
        </w:rPr>
        <w:t>Oscour</w:t>
      </w:r>
      <w:proofErr w:type="spellEnd"/>
      <w:r w:rsidRPr="00913A06">
        <w:rPr>
          <w:rFonts w:asciiTheme="minorHAnsi" w:hAnsiTheme="minorHAnsi" w:cstheme="minorHAnsi"/>
          <w:color w:val="191919"/>
          <w:szCs w:val="20"/>
        </w:rPr>
        <w:t> : les résumés de passage aux urgences ;</w:t>
      </w:r>
    </w:p>
    <w:p w14:paraId="3F2D2A65" w14:textId="77777777" w:rsidR="00656C1E" w:rsidRPr="00913A06" w:rsidRDefault="00656C1E" w:rsidP="00DA4183">
      <w:pPr>
        <w:pStyle w:val="NormalWeb"/>
        <w:numPr>
          <w:ilvl w:val="0"/>
          <w:numId w:val="23"/>
        </w:numPr>
        <w:shd w:val="clear" w:color="auto" w:fill="FFFFFF"/>
        <w:spacing w:before="75" w:after="225" w:line="240" w:lineRule="auto"/>
        <w:jc w:val="both"/>
        <w:rPr>
          <w:rFonts w:asciiTheme="minorHAnsi" w:hAnsiTheme="minorHAnsi" w:cstheme="minorHAnsi"/>
          <w:color w:val="191919"/>
          <w:szCs w:val="20"/>
        </w:rPr>
      </w:pPr>
      <w:r w:rsidRPr="00913A06">
        <w:rPr>
          <w:rFonts w:asciiTheme="minorHAnsi" w:hAnsiTheme="minorHAnsi" w:cstheme="minorHAnsi"/>
          <w:color w:val="191919"/>
          <w:szCs w:val="20"/>
        </w:rPr>
        <w:t xml:space="preserve">Des données d’études pour lesquelles l’Institut est responsable ou responsable conjoint du traitement des données ou les données d’études réalisés par des industriels de santé dans le cadre du projet de </w:t>
      </w:r>
      <w:hyperlink r:id="rId19" w:history="1">
        <w:r w:rsidRPr="00913A06">
          <w:rPr>
            <w:rStyle w:val="Lienhypertexte"/>
            <w:rFonts w:asciiTheme="minorHAnsi" w:hAnsiTheme="minorHAnsi" w:cstheme="minorHAnsi"/>
            <w:szCs w:val="20"/>
          </w:rPr>
          <w:t>Filière intelligence artificielle et cancer</w:t>
        </w:r>
      </w:hyperlink>
      <w:r w:rsidRPr="00913A06">
        <w:rPr>
          <w:rFonts w:asciiTheme="minorHAnsi" w:hAnsiTheme="minorHAnsi" w:cstheme="minorHAnsi"/>
          <w:color w:val="191919"/>
          <w:szCs w:val="20"/>
        </w:rPr>
        <w:t xml:space="preserve">. </w:t>
      </w:r>
    </w:p>
    <w:p w14:paraId="42C046C6" w14:textId="77777777" w:rsidR="006E0A0A" w:rsidRPr="006E0A0A" w:rsidRDefault="006E0A0A" w:rsidP="008D6650">
      <w:pPr>
        <w:jc w:val="both"/>
      </w:pPr>
      <w:r w:rsidRPr="006E0A0A">
        <w:t>La plateforme permet de :</w:t>
      </w:r>
    </w:p>
    <w:p w14:paraId="6567EADA" w14:textId="77777777" w:rsidR="006E0A0A" w:rsidRPr="006E0A0A" w:rsidRDefault="00363D01" w:rsidP="00DA4183">
      <w:pPr>
        <w:pStyle w:val="Paragraphedeliste"/>
        <w:numPr>
          <w:ilvl w:val="0"/>
          <w:numId w:val="13"/>
        </w:numPr>
        <w:jc w:val="both"/>
      </w:pPr>
      <w:r w:rsidRPr="006E0A0A">
        <w:t>Res</w:t>
      </w:r>
      <w:r w:rsidR="006E0A0A" w:rsidRPr="006E0A0A">
        <w:t>pecter le référentiel de sécurité du SNDS</w:t>
      </w:r>
      <w:r w:rsidR="006E0A0A" w:rsidRPr="00DF01B1">
        <w:rPr>
          <w:rFonts w:ascii="Cambria" w:hAnsi="Cambria" w:cs="Cambria"/>
        </w:rPr>
        <w:t> </w:t>
      </w:r>
      <w:r w:rsidR="006E0A0A" w:rsidRPr="006E0A0A">
        <w:t>;</w:t>
      </w:r>
    </w:p>
    <w:p w14:paraId="5EA98DA0" w14:textId="77777777" w:rsidR="006E0A0A" w:rsidRPr="006E0A0A" w:rsidRDefault="00363D01" w:rsidP="00DA4183">
      <w:pPr>
        <w:pStyle w:val="Paragraphedeliste"/>
        <w:numPr>
          <w:ilvl w:val="0"/>
          <w:numId w:val="13"/>
        </w:numPr>
        <w:jc w:val="both"/>
      </w:pPr>
      <w:r w:rsidRPr="006E0A0A">
        <w:t xml:space="preserve">Sécuriser </w:t>
      </w:r>
      <w:r w:rsidR="006E0A0A" w:rsidRPr="006E0A0A">
        <w:t xml:space="preserve">la production de données auprès de certains acteurs comme les registres ou des bases </w:t>
      </w:r>
      <w:proofErr w:type="spellStart"/>
      <w:r w:rsidR="006E0A0A" w:rsidRPr="006E0A0A">
        <w:t>clinico</w:t>
      </w:r>
      <w:proofErr w:type="spellEnd"/>
      <w:r w:rsidR="006E0A0A" w:rsidRPr="006E0A0A">
        <w:t>-biologiques en leur mettant à disposition des outils répondant aux référentiels de sécurité</w:t>
      </w:r>
      <w:r w:rsidR="006E0A0A" w:rsidRPr="00DF01B1">
        <w:rPr>
          <w:rFonts w:ascii="Cambria" w:hAnsi="Cambria" w:cs="Cambria"/>
        </w:rPr>
        <w:t> </w:t>
      </w:r>
      <w:r w:rsidR="006E0A0A" w:rsidRPr="006E0A0A">
        <w:t>;</w:t>
      </w:r>
    </w:p>
    <w:p w14:paraId="29AB2A90" w14:textId="77777777" w:rsidR="006E0A0A" w:rsidRPr="006E0A0A" w:rsidRDefault="00363D01" w:rsidP="00DA4183">
      <w:pPr>
        <w:pStyle w:val="Paragraphedeliste"/>
        <w:numPr>
          <w:ilvl w:val="0"/>
          <w:numId w:val="13"/>
        </w:numPr>
        <w:jc w:val="both"/>
      </w:pPr>
      <w:r w:rsidRPr="006E0A0A">
        <w:t xml:space="preserve">Favoriser </w:t>
      </w:r>
      <w:r w:rsidR="006E0A0A" w:rsidRPr="006E0A0A">
        <w:t>le déploiement des outils de production des documents interopérables : fiches de Réunion de Concertation Pluridisciplinaire, Parcours Personnalisé de Soins, Compte-rendu d’anatomopathologie, compte-rendu de génétique moléculaire…</w:t>
      </w:r>
      <w:r w:rsidR="006E0A0A" w:rsidRPr="00DF01B1">
        <w:rPr>
          <w:rFonts w:ascii="Cambria" w:hAnsi="Cambria" w:cs="Cambria"/>
        </w:rPr>
        <w:t> </w:t>
      </w:r>
      <w:r w:rsidR="006E0A0A" w:rsidRPr="006E0A0A">
        <w:t>;</w:t>
      </w:r>
    </w:p>
    <w:p w14:paraId="268C9E52" w14:textId="77777777" w:rsidR="006E0A0A" w:rsidRPr="006E0A0A" w:rsidRDefault="00363D01" w:rsidP="00DA4183">
      <w:pPr>
        <w:pStyle w:val="Paragraphedeliste"/>
        <w:numPr>
          <w:ilvl w:val="0"/>
          <w:numId w:val="13"/>
        </w:numPr>
        <w:jc w:val="both"/>
      </w:pPr>
      <w:r w:rsidRPr="006E0A0A">
        <w:t xml:space="preserve">Créer </w:t>
      </w:r>
      <w:r w:rsidR="006E0A0A" w:rsidRPr="006E0A0A">
        <w:t>une interface d’analyse et de restitution des analyses et résultats</w:t>
      </w:r>
      <w:r w:rsidR="006E0A0A" w:rsidRPr="00DF01B1">
        <w:rPr>
          <w:rFonts w:ascii="Cambria" w:hAnsi="Cambria" w:cs="Cambria"/>
        </w:rPr>
        <w:t> </w:t>
      </w:r>
      <w:r w:rsidR="006E0A0A" w:rsidRPr="006E0A0A">
        <w:t>;</w:t>
      </w:r>
    </w:p>
    <w:p w14:paraId="7BA2789E" w14:textId="77777777" w:rsidR="006E0A0A" w:rsidRPr="006E0A0A" w:rsidRDefault="00363D01" w:rsidP="00DA4183">
      <w:pPr>
        <w:pStyle w:val="Paragraphedeliste"/>
        <w:numPr>
          <w:ilvl w:val="0"/>
          <w:numId w:val="13"/>
        </w:numPr>
        <w:jc w:val="both"/>
      </w:pPr>
      <w:r w:rsidRPr="006E0A0A">
        <w:t xml:space="preserve">Proposer </w:t>
      </w:r>
      <w:r w:rsidR="006E0A0A" w:rsidRPr="006E0A0A">
        <w:t>pour un certain nombre d’acteurs un environnement sécurisé de recherche (« bulle sécurisé »).</w:t>
      </w:r>
    </w:p>
    <w:p w14:paraId="22FA3485" w14:textId="77777777" w:rsidR="006E0A0A" w:rsidRPr="006E0A0A" w:rsidRDefault="006E0A0A" w:rsidP="008D6650">
      <w:pPr>
        <w:jc w:val="both"/>
      </w:pPr>
      <w:r w:rsidRPr="006E0A0A">
        <w:t>La plateforme joue ainsi un rôle d’agrégateur de données et de facilitateur pour de nouvelles exploitations, en s’appuyant sur une documentation partagée, l’identification et la définition de référentiels et de thésaurus.</w:t>
      </w:r>
    </w:p>
    <w:p w14:paraId="73BD942D" w14:textId="77777777" w:rsidR="006E0A0A" w:rsidRPr="006E0A0A" w:rsidRDefault="006E0A0A" w:rsidP="008D6650">
      <w:pPr>
        <w:jc w:val="both"/>
      </w:pPr>
      <w:r w:rsidRPr="006E0A0A">
        <w:t xml:space="preserve">Elle vise à répondre aux questionnements des acteurs de la cancérologie en leur offrant une plateforme de données, probablement unique au monde, afin d’en faire un outil de recherche publique et privée, pour les acteurs </w:t>
      </w:r>
      <w:r w:rsidR="004823EC">
        <w:t>partenaire</w:t>
      </w:r>
      <w:r w:rsidRPr="006E0A0A">
        <w:t xml:space="preserve">s et académiques, de la recherche et du soin. De manière complémentaire, des jeux de données traitées et qualifiées pourront être mis à disposition dans le Hub date santé, plateforme de </w:t>
      </w:r>
      <w:proofErr w:type="spellStart"/>
      <w:r w:rsidRPr="006E0A0A">
        <w:t>ré-exploitation</w:t>
      </w:r>
      <w:proofErr w:type="spellEnd"/>
      <w:r w:rsidRPr="006E0A0A">
        <w:t xml:space="preserve"> plus générale de données de santé non identifiantes.</w:t>
      </w:r>
    </w:p>
    <w:p w14:paraId="4AEA7596" w14:textId="77777777" w:rsidR="006E0A0A" w:rsidRPr="006E0A0A" w:rsidRDefault="006E0A0A" w:rsidP="008D6650">
      <w:pPr>
        <w:jc w:val="both"/>
      </w:pPr>
      <w:r w:rsidRPr="006E0A0A">
        <w:t>Trois objectifs</w:t>
      </w:r>
      <w:r w:rsidRPr="006E0A0A">
        <w:rPr>
          <w:rFonts w:ascii="Cambria" w:hAnsi="Cambria" w:cs="Cambria"/>
        </w:rPr>
        <w:t> </w:t>
      </w:r>
      <w:r w:rsidRPr="006E0A0A">
        <w:t>:</w:t>
      </w:r>
    </w:p>
    <w:p w14:paraId="1FADE36C" w14:textId="77777777" w:rsidR="006E0A0A" w:rsidRPr="00FA2AD2" w:rsidRDefault="00FA2AD2" w:rsidP="00DA4183">
      <w:pPr>
        <w:pStyle w:val="Paragraphedeliste"/>
        <w:numPr>
          <w:ilvl w:val="0"/>
          <w:numId w:val="14"/>
        </w:numPr>
        <w:jc w:val="both"/>
      </w:pPr>
      <w:r w:rsidRPr="00FA2AD2">
        <w:t xml:space="preserve">Créer </w:t>
      </w:r>
      <w:r w:rsidR="006E0A0A" w:rsidRPr="00FA2AD2">
        <w:t xml:space="preserve">une plateforme de données en oncologie compatible avec le </w:t>
      </w:r>
      <w:proofErr w:type="spellStart"/>
      <w:r w:rsidR="006E0A0A" w:rsidRPr="00FA2AD2">
        <w:t>Health</w:t>
      </w:r>
      <w:proofErr w:type="spellEnd"/>
      <w:r w:rsidR="006E0A0A" w:rsidRPr="00FA2AD2">
        <w:t xml:space="preserve"> data hub</w:t>
      </w:r>
      <w:r w:rsidR="006E0A0A" w:rsidRPr="00DF01B1">
        <w:rPr>
          <w:rFonts w:ascii="Cambria" w:hAnsi="Cambria" w:cs="Cambria"/>
        </w:rPr>
        <w:t> </w:t>
      </w:r>
      <w:r w:rsidR="006E0A0A" w:rsidRPr="00FA2AD2">
        <w:t>;</w:t>
      </w:r>
    </w:p>
    <w:p w14:paraId="6CFA573C" w14:textId="77777777" w:rsidR="006E0A0A" w:rsidRPr="00FA2AD2" w:rsidRDefault="00FA2AD2" w:rsidP="00DA4183">
      <w:pPr>
        <w:pStyle w:val="Paragraphedeliste"/>
        <w:numPr>
          <w:ilvl w:val="0"/>
          <w:numId w:val="14"/>
        </w:numPr>
        <w:jc w:val="both"/>
      </w:pPr>
      <w:r w:rsidRPr="00FA2AD2">
        <w:t xml:space="preserve">Faire </w:t>
      </w:r>
      <w:r w:rsidR="006E0A0A" w:rsidRPr="00FA2AD2">
        <w:t>émerger des projets innovants par et pour la recherche publique ou privée</w:t>
      </w:r>
      <w:r w:rsidR="006E0A0A" w:rsidRPr="00DF01B1">
        <w:rPr>
          <w:rFonts w:ascii="Cambria" w:hAnsi="Cambria" w:cs="Cambria"/>
        </w:rPr>
        <w:t> </w:t>
      </w:r>
      <w:r w:rsidR="006E0A0A" w:rsidRPr="00FA2AD2">
        <w:t>;</w:t>
      </w:r>
    </w:p>
    <w:p w14:paraId="5AF1910E" w14:textId="77777777" w:rsidR="00A77076" w:rsidRPr="006E0A0A" w:rsidRDefault="00FA2AD2" w:rsidP="00DA4183">
      <w:pPr>
        <w:pStyle w:val="Paragraphedeliste"/>
        <w:numPr>
          <w:ilvl w:val="0"/>
          <w:numId w:val="14"/>
        </w:numPr>
        <w:jc w:val="both"/>
      </w:pPr>
      <w:r w:rsidRPr="00FA2AD2">
        <w:t xml:space="preserve">Renforcer </w:t>
      </w:r>
      <w:r w:rsidR="006E0A0A" w:rsidRPr="00FA2AD2">
        <w:t>la cohérence et valoriser l’ensemble de la démarche, en particulier à l’international.</w:t>
      </w:r>
    </w:p>
    <w:p w14:paraId="0056B476" w14:textId="77777777" w:rsidR="006E0A0A" w:rsidRPr="00A77076" w:rsidRDefault="006E0A0A" w:rsidP="008D6650">
      <w:pPr>
        <w:ind w:left="360"/>
        <w:jc w:val="both"/>
        <w:rPr>
          <w:b/>
        </w:rPr>
      </w:pPr>
      <w:r w:rsidRPr="00A77076">
        <w:rPr>
          <w:b/>
        </w:rPr>
        <w:t>La cohorte cancer</w:t>
      </w:r>
    </w:p>
    <w:p w14:paraId="1955B556" w14:textId="77777777" w:rsidR="006E0A0A" w:rsidRPr="00FA2AD2" w:rsidRDefault="006E0A0A" w:rsidP="008D6650">
      <w:pPr>
        <w:jc w:val="both"/>
        <w:rPr>
          <w:b/>
          <w:bCs/>
        </w:rPr>
      </w:pPr>
      <w:r w:rsidRPr="00FA2AD2">
        <w:rPr>
          <w:b/>
          <w:bCs/>
        </w:rPr>
        <w:t>Une extraction du SNDS…</w:t>
      </w:r>
    </w:p>
    <w:p w14:paraId="081A6D01" w14:textId="77777777" w:rsidR="004E3180" w:rsidRDefault="00FA2AD2" w:rsidP="008D6650">
      <w:pPr>
        <w:jc w:val="both"/>
      </w:pPr>
      <w:r w:rsidRPr="00FA2AD2">
        <w:t>La cohorte cancer est une extraction du SNDS pour toute personne identifiée comme ayant ou ayant eu une tumeur solide ou une hémopathie maligne (cas incident ou prévalent) depuis 2010. Elle compte à ce jour 9,5 millions de personnes. Une personne entre dans la cohorte dès lors qu’elle a une hospitalisation en secteur MCO (médecine, chirurgie, obstétri</w:t>
      </w:r>
      <w:r w:rsidR="0098047C">
        <w:t>qu</w:t>
      </w:r>
      <w:r w:rsidRPr="00FA2AD2">
        <w:t>e) considérée en lien avec le cancer, une ALD (affection longue durée) pour cancer, de la radiothérapie en secteur libéral (la radiothérapie publique donne lieu à une hospitalisation et sera identifiée via la PMSI – programme de médicalisation des systèmes d’information), le remboursement d’un médicament anticancéreux en ville ou en rétrocession ou certains actes CCAM (classification commune des actes médicaux) d’anatomopathologie [1].</w:t>
      </w:r>
    </w:p>
    <w:p w14:paraId="78D46927" w14:textId="77777777" w:rsidR="006E0A0A" w:rsidRPr="006E0A0A" w:rsidRDefault="006E0A0A" w:rsidP="008D6650">
      <w:pPr>
        <w:jc w:val="both"/>
      </w:pPr>
      <w:r w:rsidRPr="006E0A0A">
        <w:t xml:space="preserve">Toutes les consommations de soins quelles qu’elles soient des personnes incluses sont extraites de l’année précédant l’inclusion jusqu’aux </w:t>
      </w:r>
      <w:r w:rsidR="00A81067">
        <w:t>20</w:t>
      </w:r>
      <w:r w:rsidR="00A81067" w:rsidRPr="006E0A0A">
        <w:t xml:space="preserve"> </w:t>
      </w:r>
      <w:r w:rsidRPr="006E0A0A">
        <w:t>années suivantes. La durée du suivi a pour but d’étudier</w:t>
      </w:r>
      <w:r w:rsidRPr="006E0A0A">
        <w:rPr>
          <w:rFonts w:ascii="Cambria" w:hAnsi="Cambria" w:cs="Cambria"/>
        </w:rPr>
        <w:t> </w:t>
      </w:r>
      <w:r w:rsidRPr="006E0A0A">
        <w:t xml:space="preserve">: </w:t>
      </w:r>
    </w:p>
    <w:p w14:paraId="07D2EC7F" w14:textId="77777777" w:rsidR="006E0A0A" w:rsidRPr="006E0A0A" w:rsidRDefault="006E0A0A" w:rsidP="00DA4183">
      <w:pPr>
        <w:pStyle w:val="Paragraphedeliste"/>
        <w:numPr>
          <w:ilvl w:val="0"/>
          <w:numId w:val="15"/>
        </w:numPr>
        <w:jc w:val="both"/>
      </w:pPr>
      <w:r w:rsidRPr="006E0A0A">
        <w:t>La survie et les récidives à long terme pour les cancers de bon pronostic</w:t>
      </w:r>
    </w:p>
    <w:p w14:paraId="41C77C68" w14:textId="77777777" w:rsidR="006E0A0A" w:rsidRPr="006E0A0A" w:rsidRDefault="006E0A0A" w:rsidP="00DA4183">
      <w:pPr>
        <w:pStyle w:val="Paragraphedeliste"/>
        <w:numPr>
          <w:ilvl w:val="0"/>
          <w:numId w:val="15"/>
        </w:numPr>
        <w:jc w:val="both"/>
      </w:pPr>
      <w:r w:rsidRPr="006E0A0A">
        <w:t>Les effets secondaires à long terme des traitements</w:t>
      </w:r>
    </w:p>
    <w:p w14:paraId="1CFC8B6F" w14:textId="77777777" w:rsidR="006E0A0A" w:rsidRPr="006E0A0A" w:rsidRDefault="006E0A0A" w:rsidP="00DA4183">
      <w:pPr>
        <w:pStyle w:val="Paragraphedeliste"/>
        <w:numPr>
          <w:ilvl w:val="0"/>
          <w:numId w:val="15"/>
        </w:numPr>
        <w:jc w:val="both"/>
      </w:pPr>
      <w:r w:rsidRPr="006E0A0A">
        <w:t>La survenue de seconds cancers</w:t>
      </w:r>
    </w:p>
    <w:p w14:paraId="1F7DD926" w14:textId="77777777" w:rsidR="006E0A0A" w:rsidRPr="006E0A0A" w:rsidRDefault="006E0A0A" w:rsidP="00DA4183">
      <w:pPr>
        <w:pStyle w:val="Paragraphedeliste"/>
        <w:numPr>
          <w:ilvl w:val="0"/>
          <w:numId w:val="15"/>
        </w:numPr>
        <w:jc w:val="both"/>
      </w:pPr>
      <w:r w:rsidRPr="006E0A0A">
        <w:t>Le devenir à l’âge adulte des personnes atteintes de cancer pendant l’enfance.</w:t>
      </w:r>
    </w:p>
    <w:p w14:paraId="3A0046A5" w14:textId="77777777" w:rsidR="006E0A0A" w:rsidRPr="006E0A0A" w:rsidRDefault="006E0A0A" w:rsidP="008D6650">
      <w:pPr>
        <w:jc w:val="both"/>
      </w:pPr>
      <w:r w:rsidRPr="006E0A0A">
        <w:t>Ainsi, la cohorte apporte de la connaissance pour permettre une meilleure planification des soins, l’évaluation des prises en charge et l’évaluation de politiques de santé. Elle apporte en effet une vision à la fois transversale selon différents axes (période, type de cancer, âge, zone géographique …) et longitudinale et permet un suivi régulier des activités, globale ou par axe, par la production de tableaux de bord thématiques</w:t>
      </w:r>
      <w:r w:rsidRPr="006E0A0A">
        <w:rPr>
          <w:rFonts w:ascii="Cambria" w:hAnsi="Cambria" w:cs="Cambria"/>
        </w:rPr>
        <w:t> </w:t>
      </w:r>
      <w:r w:rsidRPr="006E0A0A">
        <w:t>: hospitalisation, chimiothérapie, radiothérapie, chirurgie, populations spécifiques (enfants, personnes âgées, cancers rares …).</w:t>
      </w:r>
    </w:p>
    <w:p w14:paraId="37A2F87D" w14:textId="77777777" w:rsidR="004E3180" w:rsidRDefault="004E3180" w:rsidP="008D6650">
      <w:pPr>
        <w:jc w:val="both"/>
      </w:pPr>
      <w:bookmarkStart w:id="74" w:name="_Toc530410478"/>
      <w:r w:rsidRPr="004E3180">
        <w:t>Elle permet aussi l’analyse des parcours de soins [2-4], le recours à de nouveaux médicaments à condition qu’ils soient inscrits sur la liste en sus, en ATU (autorisation temporaire d’utilisation), en AAP ou AAC (autorisation d’accès précoce ou compassionnel), en rétrocession ou délivrés en officine.</w:t>
      </w:r>
    </w:p>
    <w:p w14:paraId="0223B75E" w14:textId="77777777" w:rsidR="006E0A0A" w:rsidRPr="006E0A0A" w:rsidRDefault="006E0A0A" w:rsidP="008D6650">
      <w:pPr>
        <w:jc w:val="both"/>
        <w:rPr>
          <w:b/>
        </w:rPr>
      </w:pPr>
      <w:r w:rsidRPr="006E0A0A">
        <w:rPr>
          <w:b/>
        </w:rPr>
        <w:t>… Enrichie</w:t>
      </w:r>
      <w:bookmarkEnd w:id="74"/>
    </w:p>
    <w:p w14:paraId="2F3E5077" w14:textId="49DA8105" w:rsidR="006E0A0A" w:rsidRPr="006E0A0A" w:rsidRDefault="006E0A0A" w:rsidP="008D6650">
      <w:pPr>
        <w:jc w:val="both"/>
      </w:pPr>
      <w:r w:rsidRPr="006E0A0A">
        <w:t xml:space="preserve">Des variables complémentaires, déduites des informations du SNDS ont été créées afin de mieux caractériser à la fois le cancer - type (in situ, invasif, envahissement ganglionnaire ou métastatique) ou localisation (appareil, organe) - la personne et sa consommation de soins par année. </w:t>
      </w:r>
      <w:r w:rsidR="004E3180" w:rsidRPr="004E3180">
        <w:t xml:space="preserve">En effet ces informations se trouvent dispersées, évoluent dans le temps, et leur recherche est consommatrice de temps et source d’erreur. Afin d’éviter aux utilisateurs de devoir refaire ces </w:t>
      </w:r>
      <w:r w:rsidR="003F1CE0">
        <w:t>exploitations</w:t>
      </w:r>
      <w:r w:rsidR="003F1CE0" w:rsidRPr="004E3180">
        <w:t xml:space="preserve"> </w:t>
      </w:r>
      <w:r w:rsidR="004E3180" w:rsidRPr="004E3180">
        <w:t>à partir des données sources et pour garantir une homogénéité de traitement de la donnée, l’</w:t>
      </w:r>
      <w:r w:rsidR="00903EBA">
        <w:t>Institut</w:t>
      </w:r>
      <w:r w:rsidR="004E3180" w:rsidRPr="004E3180">
        <w:t xml:space="preserve"> extrait, qualifie, hiérarchise, date et historise les informations </w:t>
      </w:r>
      <w:r w:rsidR="003F1CE0">
        <w:t xml:space="preserve">issues </w:t>
      </w:r>
      <w:r w:rsidR="004E3180" w:rsidRPr="004E3180">
        <w:t>de ces différentes sources et les restitue dans des tables mises à disposition des utilisateurs de la plateforme.</w:t>
      </w:r>
    </w:p>
    <w:p w14:paraId="04A1AB5F" w14:textId="77777777" w:rsidR="006E0A0A" w:rsidRPr="006E0A0A" w:rsidRDefault="006E0A0A" w:rsidP="008D6650">
      <w:pPr>
        <w:jc w:val="both"/>
      </w:pPr>
      <w:r w:rsidRPr="006E0A0A">
        <w:t>L’appariement avec d’autres bases de données a pour objectif d’adjoindre des informations qui font actuellement défaut (cliniques, anatomopathologiques, biologiques, génomiques…). Dans un premier temps certaines de ces données seront issues des bases des registres des cancers</w:t>
      </w:r>
      <w:r w:rsidR="004E3180">
        <w:t xml:space="preserve"> et du dépistage</w:t>
      </w:r>
      <w:r w:rsidRPr="006E0A0A">
        <w:t xml:space="preserve"> avant d’envisager d’autres sources complémentaires.</w:t>
      </w:r>
    </w:p>
    <w:p w14:paraId="4938003A" w14:textId="77777777" w:rsidR="006E0A0A" w:rsidRPr="006E0A0A" w:rsidRDefault="006E0A0A" w:rsidP="008D6650">
      <w:pPr>
        <w:jc w:val="both"/>
        <w:rPr>
          <w:b/>
        </w:rPr>
      </w:pPr>
      <w:r w:rsidRPr="006E0A0A">
        <w:rPr>
          <w:b/>
        </w:rPr>
        <w:t>Alimentation</w:t>
      </w:r>
    </w:p>
    <w:p w14:paraId="046D8B10" w14:textId="77777777" w:rsidR="006E0A0A" w:rsidRPr="006E0A0A" w:rsidRDefault="006E0A0A" w:rsidP="008D6650">
      <w:pPr>
        <w:jc w:val="both"/>
      </w:pPr>
      <w:r w:rsidRPr="006E0A0A">
        <w:t>Chaque nouvelle année N, une fois par an (en année N+1), les identifiants de l’année N correspondant aux critères d’inclusion sont recherchés. La CNAM procède à l’extraction des consommations de soin de ces personnes</w:t>
      </w:r>
      <w:r w:rsidRPr="006E0A0A">
        <w:rPr>
          <w:rFonts w:ascii="Cambria" w:hAnsi="Cambria" w:cs="Cambria"/>
        </w:rPr>
        <w:t> </w:t>
      </w:r>
      <w:r w:rsidRPr="006E0A0A">
        <w:t xml:space="preserve">: </w:t>
      </w:r>
    </w:p>
    <w:p w14:paraId="797C9E0E" w14:textId="77777777" w:rsidR="006E0A0A" w:rsidRPr="006E0A0A" w:rsidRDefault="004E3180" w:rsidP="00DA4183">
      <w:pPr>
        <w:pStyle w:val="Paragraphedeliste"/>
        <w:numPr>
          <w:ilvl w:val="0"/>
          <w:numId w:val="16"/>
        </w:numPr>
        <w:jc w:val="both"/>
      </w:pPr>
      <w:r>
        <w:t>C</w:t>
      </w:r>
      <w:r w:rsidR="006E0A0A" w:rsidRPr="006E0A0A">
        <w:t>onsommations des années N-1 et N pour les nouveaux entrants dans la cohorte</w:t>
      </w:r>
      <w:r w:rsidR="006E0A0A" w:rsidRPr="00DF01B1">
        <w:rPr>
          <w:rFonts w:ascii="Cambria" w:hAnsi="Cambria" w:cs="Cambria"/>
        </w:rPr>
        <w:t> </w:t>
      </w:r>
      <w:r w:rsidR="006E0A0A" w:rsidRPr="006E0A0A">
        <w:t>;</w:t>
      </w:r>
    </w:p>
    <w:p w14:paraId="3CC87699" w14:textId="77777777" w:rsidR="006E0A0A" w:rsidRPr="006E0A0A" w:rsidRDefault="004E3180" w:rsidP="00DA4183">
      <w:pPr>
        <w:pStyle w:val="Paragraphedeliste"/>
        <w:numPr>
          <w:ilvl w:val="0"/>
          <w:numId w:val="16"/>
        </w:numPr>
        <w:jc w:val="both"/>
      </w:pPr>
      <w:r>
        <w:t>C</w:t>
      </w:r>
      <w:r w:rsidR="006E0A0A" w:rsidRPr="006E0A0A">
        <w:t>onsommations de l’année N pour les personnes déjà présentes dans la cohorte,</w:t>
      </w:r>
    </w:p>
    <w:p w14:paraId="717A9AA1" w14:textId="5E946A11" w:rsidR="00961E06" w:rsidRPr="00961E06" w:rsidRDefault="006E0A0A" w:rsidP="008D6650">
      <w:pPr>
        <w:jc w:val="both"/>
      </w:pPr>
      <w:proofErr w:type="gramStart"/>
      <w:r w:rsidRPr="006E0A0A">
        <w:t>et</w:t>
      </w:r>
      <w:proofErr w:type="gramEnd"/>
      <w:r w:rsidRPr="006E0A0A">
        <w:t xml:space="preserve"> fournit les données à l’</w:t>
      </w:r>
      <w:r w:rsidR="00903EBA">
        <w:t>Institut</w:t>
      </w:r>
      <w:r w:rsidRPr="006E0A0A">
        <w:t xml:space="preserve"> selon les modalités définies par la convention qui lie les 2 organismes. </w:t>
      </w:r>
    </w:p>
    <w:p w14:paraId="078B0488" w14:textId="77777777" w:rsidR="006E0A0A" w:rsidRPr="00FA2AD2" w:rsidRDefault="006E0A0A" w:rsidP="008D6650">
      <w:pPr>
        <w:ind w:firstLine="708"/>
        <w:jc w:val="both"/>
        <w:rPr>
          <w:b/>
          <w:bCs/>
        </w:rPr>
      </w:pPr>
      <w:r w:rsidRPr="00FA2AD2">
        <w:rPr>
          <w:b/>
          <w:bCs/>
        </w:rPr>
        <w:t>Les données des registres des cancers</w:t>
      </w:r>
    </w:p>
    <w:p w14:paraId="7B399A90" w14:textId="77777777" w:rsidR="00961E06" w:rsidRDefault="006E0A0A" w:rsidP="008D6650">
      <w:pPr>
        <w:jc w:val="both"/>
      </w:pPr>
      <w:r w:rsidRPr="006E0A0A">
        <w:t>Les registres des cancers ont des missions nationales de veille et de recherche. Ils colligent des caractéristiques fines des cancers et couvrent la population adulte à hauteur de 20% et à 100% celle des enfants. Les registres sont évalués par le Comité d'</w:t>
      </w:r>
      <w:r w:rsidR="004E3180" w:rsidRPr="006E0A0A">
        <w:t>Évaluation</w:t>
      </w:r>
      <w:r w:rsidRPr="006E0A0A">
        <w:t xml:space="preserve"> des Registres (CER) dans le cadre de la procédure de qualification qui porte sur leur qualité, leur intérêt pour la santé publique et la recherche et leur opportunité par rapport à la politique nationale développée dans leur domaine. 28 registres ont intégré un partenariat financier et scientifique dont fait partie l’Institut.</w:t>
      </w:r>
    </w:p>
    <w:p w14:paraId="6BEB7940" w14:textId="77777777" w:rsidR="006E0A0A" w:rsidRPr="00FA2AD2" w:rsidRDefault="006E0A0A" w:rsidP="008D6650">
      <w:pPr>
        <w:ind w:firstLine="708"/>
        <w:jc w:val="both"/>
        <w:rPr>
          <w:b/>
          <w:bCs/>
        </w:rPr>
      </w:pPr>
      <w:r w:rsidRPr="00FA2AD2">
        <w:rPr>
          <w:b/>
          <w:bCs/>
        </w:rPr>
        <w:t>Les données du dépistage</w:t>
      </w:r>
    </w:p>
    <w:p w14:paraId="43977EAA" w14:textId="77777777" w:rsidR="00961E06" w:rsidRDefault="006E0A0A" w:rsidP="008D6650">
      <w:pPr>
        <w:jc w:val="both"/>
      </w:pPr>
      <w:r w:rsidRPr="006E0A0A">
        <w:t>Lorsque le système national des dépistages aura été constitué, les données nationales des dépistages organisés seront progressivement intégrées (cancers du sein, colorectal et du col de l’utérus). Les centres régionaux de coordination des dépistages des cancers (CRCDC) couvrent tout le territoire national. Ils colligent des informations relatives à la participation au dépistage, le niveau de risque des personnes, le diagnostic d’une tumeur détectée ainsi que le(s) premier(s) traitement(s). Le pilotage opérationnel et technique des programmes de dépistage, ainsi que l’évaluation organisationnelle, est assuré par l’Institut.</w:t>
      </w:r>
    </w:p>
    <w:p w14:paraId="25E327AF" w14:textId="77777777" w:rsidR="009818DD" w:rsidRPr="00FA2AD2" w:rsidRDefault="009818DD" w:rsidP="008D6650">
      <w:pPr>
        <w:ind w:firstLine="708"/>
        <w:jc w:val="both"/>
        <w:rPr>
          <w:b/>
          <w:bCs/>
        </w:rPr>
      </w:pPr>
      <w:r w:rsidRPr="00FA2AD2">
        <w:rPr>
          <w:b/>
          <w:bCs/>
        </w:rPr>
        <w:t xml:space="preserve">Les données du </w:t>
      </w:r>
      <w:r>
        <w:rPr>
          <w:b/>
          <w:bCs/>
        </w:rPr>
        <w:t>dossier communicant de cancérologie</w:t>
      </w:r>
    </w:p>
    <w:p w14:paraId="16763BF2" w14:textId="77777777" w:rsidR="009818DD" w:rsidRDefault="009818DD" w:rsidP="008D6650">
      <w:pPr>
        <w:jc w:val="both"/>
      </w:pPr>
      <w:r>
        <w:t xml:space="preserve">Le dossier communicant de cancérologie vise à définir les principaux documents retraçant le parcours des personnes atteintes ou ayant été atteintes d’un cancer. Cela comprend les </w:t>
      </w:r>
      <w:proofErr w:type="spellStart"/>
      <w:r>
        <w:t>comptes-rendus</w:t>
      </w:r>
      <w:proofErr w:type="spellEnd"/>
      <w:r>
        <w:t xml:space="preserve"> d’</w:t>
      </w:r>
      <w:proofErr w:type="spellStart"/>
      <w:r>
        <w:t>anatomo</w:t>
      </w:r>
      <w:proofErr w:type="spellEnd"/>
      <w:r>
        <w:t>-cytopathologie, de génétique moléculaire, la fiche de réunion de concertation pluridisciplinaire, le programme personnalisé de soins et le programme de l’après-cancer. Ces documents vont progressivement venir enrichir la plateforme de données en cancérologie et permettront d’apporter des informations essentielles sur la maladie comme son stade au diagnostic, les propositions thérapeutiques et les thérapeutiques décidées …</w:t>
      </w:r>
    </w:p>
    <w:p w14:paraId="50E65E72" w14:textId="77777777" w:rsidR="00C35476" w:rsidRPr="00FA2AD2" w:rsidRDefault="00C35476" w:rsidP="008D6650">
      <w:pPr>
        <w:ind w:firstLine="708"/>
        <w:jc w:val="both"/>
        <w:rPr>
          <w:b/>
          <w:bCs/>
        </w:rPr>
      </w:pPr>
      <w:r w:rsidRPr="00FA2AD2">
        <w:rPr>
          <w:b/>
          <w:bCs/>
        </w:rPr>
        <w:t xml:space="preserve">Les </w:t>
      </w:r>
      <w:r>
        <w:rPr>
          <w:b/>
          <w:bCs/>
        </w:rPr>
        <w:t>résumés de passage aux urgences</w:t>
      </w:r>
    </w:p>
    <w:p w14:paraId="30C229B6" w14:textId="77777777" w:rsidR="00C35476" w:rsidRDefault="00C35476" w:rsidP="008D6650">
      <w:pPr>
        <w:jc w:val="both"/>
      </w:pPr>
      <w:r>
        <w:t xml:space="preserve">La base </w:t>
      </w:r>
      <w:proofErr w:type="spellStart"/>
      <w:r>
        <w:t>Oscour</w:t>
      </w:r>
      <w:proofErr w:type="spellEnd"/>
      <w:r>
        <w:t xml:space="preserve"> est un</w:t>
      </w:r>
      <w:r w:rsidR="00E46D86">
        <w:t>e</w:t>
      </w:r>
      <w:r>
        <w:t xml:space="preserve"> base de données développée par Santé publique France et disposant des informations relatives aux passages aux urgences. En accédant à ces informations au sein de la plateforme de données en cancérologie il devient possible de mieux investiguer les raisons des recours aux urgences et de mieux évaluer l’impact des thérapeutiques (avec notamment l’étude des effets secondaires ou indésirables).</w:t>
      </w:r>
    </w:p>
    <w:p w14:paraId="23C6ECFB" w14:textId="77777777" w:rsidR="009818DD" w:rsidRPr="00FA2AD2" w:rsidRDefault="009818DD" w:rsidP="008D6650">
      <w:pPr>
        <w:ind w:firstLine="708"/>
        <w:jc w:val="both"/>
        <w:rPr>
          <w:b/>
          <w:bCs/>
        </w:rPr>
      </w:pPr>
      <w:r w:rsidRPr="00FA2AD2">
        <w:rPr>
          <w:b/>
          <w:bCs/>
        </w:rPr>
        <w:t xml:space="preserve">Les données </w:t>
      </w:r>
      <w:r>
        <w:rPr>
          <w:b/>
          <w:bCs/>
        </w:rPr>
        <w:t>des industries de santé</w:t>
      </w:r>
    </w:p>
    <w:p w14:paraId="217E2610" w14:textId="77777777" w:rsidR="009818DD" w:rsidRPr="006E0A0A" w:rsidRDefault="009818DD" w:rsidP="008D6650">
      <w:pPr>
        <w:jc w:val="both"/>
      </w:pPr>
      <w:r>
        <w:t>L’industrie de la santé produit de nombreuse</w:t>
      </w:r>
      <w:r w:rsidR="00C35476">
        <w:t>s</w:t>
      </w:r>
      <w:r>
        <w:t xml:space="preserve"> études, que cela soit lors du développement des thérapeutiques (avec notamment les études appelées essais de phase 1-2-3), au moment de la mise sur le marché des thérapeutiques (avec notamment les </w:t>
      </w:r>
      <w:r w:rsidR="00C35476">
        <w:t>études relatives aux accès précoces) et dans le suivi de l’utilisation des thérapeutiques. En nouant un partenariat avec les industries de santé, l’Institut national vise à l’ouverture de ces données, en permettant leur dépôt et exploitation au sein de la plateforme de données en cancérologie. Ces données apportent des précisions notamment sur la maladie et sur les traitements proposés.</w:t>
      </w:r>
    </w:p>
    <w:p w14:paraId="7F86F539" w14:textId="77777777" w:rsidR="006E0A0A" w:rsidRPr="00FA2AD2" w:rsidRDefault="006E0A0A" w:rsidP="008D6650">
      <w:pPr>
        <w:ind w:firstLine="708"/>
        <w:jc w:val="both"/>
        <w:rPr>
          <w:b/>
          <w:bCs/>
        </w:rPr>
      </w:pPr>
      <w:r w:rsidRPr="00FA2AD2">
        <w:rPr>
          <w:b/>
          <w:bCs/>
        </w:rPr>
        <w:t>Appariement</w:t>
      </w:r>
    </w:p>
    <w:p w14:paraId="777A7B7F" w14:textId="77777777" w:rsidR="006E0A0A" w:rsidRPr="006E0A0A" w:rsidRDefault="006E0A0A" w:rsidP="008D6650">
      <w:pPr>
        <w:jc w:val="both"/>
      </w:pPr>
      <w:r w:rsidRPr="006E0A0A">
        <w:t xml:space="preserve">Dans la cohorte cancer, les identifiants sont </w:t>
      </w:r>
      <w:proofErr w:type="spellStart"/>
      <w:r w:rsidRPr="006E0A0A">
        <w:t>pseudonymisés</w:t>
      </w:r>
      <w:proofErr w:type="spellEnd"/>
      <w:r w:rsidRPr="006E0A0A">
        <w:t xml:space="preserve"> avec des pseudonymes générés par la CNAM différents de ceux du SNDS. Seule la CNAM détient la correspondance entre les pseudonymes de la cohorte et du SNDS.</w:t>
      </w:r>
    </w:p>
    <w:p w14:paraId="30E0B7A4" w14:textId="77777777" w:rsidR="00FA2AD2" w:rsidRPr="006E0A0A" w:rsidRDefault="006E0A0A" w:rsidP="008D6650">
      <w:pPr>
        <w:jc w:val="both"/>
      </w:pPr>
      <w:r w:rsidRPr="006E0A0A">
        <w:t>Les données des registres ainsi que celles du dépistage seront appariées aux données de la cohorte selon une méthode indirecte déterministe ou probabiliste. Dans les deux cas, l’Institut dispose d’autorisation CEREES - CNIL pour chainage de ces données à la cohorte cancer.</w:t>
      </w:r>
    </w:p>
    <w:p w14:paraId="37F1D5D6" w14:textId="77777777" w:rsidR="006E0A0A" w:rsidRPr="00FA2AD2" w:rsidRDefault="006E0A0A" w:rsidP="008D6650">
      <w:pPr>
        <w:ind w:firstLine="708"/>
        <w:jc w:val="both"/>
        <w:rPr>
          <w:b/>
          <w:bCs/>
        </w:rPr>
      </w:pPr>
      <w:r w:rsidRPr="00FA2AD2">
        <w:rPr>
          <w:b/>
          <w:bCs/>
        </w:rPr>
        <w:t>Sécurité</w:t>
      </w:r>
    </w:p>
    <w:p w14:paraId="53A5429D" w14:textId="77777777" w:rsidR="006E0A0A" w:rsidRPr="006E0A0A" w:rsidRDefault="006E0A0A" w:rsidP="008D6650">
      <w:pPr>
        <w:jc w:val="both"/>
      </w:pPr>
      <w:r w:rsidRPr="006E0A0A">
        <w:t xml:space="preserve">Le système d’information de la plateforme de données en cancérologie a été homologué (décision </w:t>
      </w:r>
      <w:r w:rsidR="00A63C13">
        <w:t>n°</w:t>
      </w:r>
      <w:r w:rsidR="00656C1E">
        <w:t>2023-27 du 3 avril 2023</w:t>
      </w:r>
      <w:r w:rsidRPr="006E0A0A">
        <w:t xml:space="preserve"> de l’autorité d’homologation de l’Institut national du cancer portant homologation du système d’information intitulé «</w:t>
      </w:r>
      <w:r w:rsidRPr="006E0A0A">
        <w:rPr>
          <w:rFonts w:ascii="Cambria" w:hAnsi="Cambria" w:cs="Cambria"/>
        </w:rPr>
        <w:t> </w:t>
      </w:r>
      <w:r w:rsidRPr="006E0A0A">
        <w:t>Plateforme des données en cancérologie</w:t>
      </w:r>
      <w:r w:rsidRPr="006E0A0A">
        <w:rPr>
          <w:rFonts w:ascii="Cambria" w:hAnsi="Cambria" w:cs="Cambria"/>
        </w:rPr>
        <w:t> </w:t>
      </w:r>
      <w:r w:rsidRPr="006E0A0A">
        <w:t>»)</w:t>
      </w:r>
    </w:p>
    <w:p w14:paraId="05F97301" w14:textId="25224127" w:rsidR="00961E06" w:rsidRPr="006E0A0A" w:rsidRDefault="006E0A0A" w:rsidP="008D6650">
      <w:pPr>
        <w:jc w:val="both"/>
      </w:pPr>
      <w:r w:rsidRPr="006E0A0A">
        <w:t>Toute personne accédant à la plateforme signe un document l’engageant, conformément notamment à l’article 32 du Règlement général sur la protection des données à prendre toutes précautions utiles dans le cadre de ses missions afin de protéger la confidentialité des informations auxquelles il a accès, et en particulier d’empêcher qu’elles ne soient modifiées, endommagées ou communiquées à des personnes non expressément autorisées à recevoir ces informations.</w:t>
      </w:r>
    </w:p>
    <w:p w14:paraId="4DBDAB67" w14:textId="77777777" w:rsidR="006E0A0A" w:rsidRPr="00FA2AD2" w:rsidRDefault="006E0A0A" w:rsidP="008D6650">
      <w:pPr>
        <w:ind w:firstLine="708"/>
        <w:jc w:val="both"/>
        <w:rPr>
          <w:b/>
          <w:bCs/>
        </w:rPr>
      </w:pPr>
      <w:r w:rsidRPr="00FA2AD2">
        <w:rPr>
          <w:b/>
          <w:bCs/>
        </w:rPr>
        <w:t>Information individuelle des personnes</w:t>
      </w:r>
    </w:p>
    <w:p w14:paraId="0065778C" w14:textId="77777777" w:rsidR="006E0A0A" w:rsidRPr="006E0A0A" w:rsidRDefault="006E0A0A" w:rsidP="008D6650">
      <w:pPr>
        <w:jc w:val="both"/>
      </w:pPr>
      <w:r w:rsidRPr="006E0A0A">
        <w:t>Dans la mesure où l'Institut ne dispose pas de l'identité et de l'adresse des personnes concernées et compte tenu du nombre de personnes concernées (environ 7 millions), de l'incertitude sur leur statut vital et de l'ancienneté d'une partie des données, une information individuelle de l'ensemble des personnes concernées exigerait un effort disproportionné.</w:t>
      </w:r>
    </w:p>
    <w:p w14:paraId="4FA7E344" w14:textId="77777777" w:rsidR="006E0A0A" w:rsidRDefault="006E0A0A" w:rsidP="008D6650">
      <w:pPr>
        <w:jc w:val="both"/>
      </w:pPr>
      <w:r w:rsidRPr="006E0A0A">
        <w:t>Dès lors, conformément aux autorisations CNIL référencées ci-dessous et conformément à l'article 14 paragraphe 5 point b) du RGPD</w:t>
      </w:r>
      <w:r w:rsidR="00527653">
        <w:t xml:space="preserve"> (Règlement général sur la protection des données)</w:t>
      </w:r>
      <w:r w:rsidRPr="006E0A0A">
        <w:t>, l’Institut met à disposition sur son site internet une information collective relative à la Plateforme ainsi que des informations sur les projets de recherche ultérieurs menés à partir des données qu'elle contient et comportant l'ensemble des mentions prévues par l'article 14 du RGPD.</w:t>
      </w:r>
    </w:p>
    <w:p w14:paraId="76C68463" w14:textId="77777777" w:rsidR="00961E06" w:rsidRPr="006E0A0A" w:rsidRDefault="008A2FA9" w:rsidP="008D6650">
      <w:pPr>
        <w:jc w:val="both"/>
      </w:pPr>
      <w:r>
        <w:t>Une information collective est proposée sur le site internet de l’Institut</w:t>
      </w:r>
      <w:r>
        <w:rPr>
          <w:rFonts w:ascii="Cambria" w:hAnsi="Cambria" w:cs="Cambria"/>
        </w:rPr>
        <w:t> </w:t>
      </w:r>
      <w:r>
        <w:t xml:space="preserve">: </w:t>
      </w:r>
      <w:hyperlink r:id="rId20" w:history="1">
        <w:r w:rsidRPr="00822B33">
          <w:rPr>
            <w:rStyle w:val="Lienhypertexte"/>
            <w:rFonts w:ascii="Calibri" w:hAnsi="Calibri" w:cs="Calibri"/>
          </w:rPr>
          <w:t>https://lesdonnees.e-cancer.fr</w:t>
        </w:r>
      </w:hyperlink>
      <w:r>
        <w:t xml:space="preserve"> </w:t>
      </w:r>
    </w:p>
    <w:p w14:paraId="38D1CCA4" w14:textId="77777777" w:rsidR="006E0A0A" w:rsidRPr="00FA2AD2" w:rsidRDefault="006E0A0A" w:rsidP="008D6650">
      <w:pPr>
        <w:jc w:val="both"/>
        <w:rPr>
          <w:b/>
          <w:bCs/>
        </w:rPr>
      </w:pPr>
      <w:r w:rsidRPr="00FA2AD2">
        <w:rPr>
          <w:b/>
          <w:bCs/>
        </w:rPr>
        <w:t>Autorisations CNIL</w:t>
      </w:r>
    </w:p>
    <w:p w14:paraId="63A48106" w14:textId="77777777" w:rsidR="006E0A0A" w:rsidRPr="006E0A0A" w:rsidRDefault="006E0A0A" w:rsidP="008D6650">
      <w:pPr>
        <w:jc w:val="both"/>
      </w:pPr>
      <w:r w:rsidRPr="006E0A0A">
        <w:t xml:space="preserve">Délibération de la Commission nationale de l’informatique et des libertés (CNIL) </w:t>
      </w:r>
      <w:r w:rsidR="00656C1E">
        <w:t>n°2023-0404</w:t>
      </w:r>
      <w:r w:rsidRPr="006E0A0A">
        <w:t xml:space="preserve"> en date du 20 </w:t>
      </w:r>
      <w:r w:rsidR="00656C1E">
        <w:t>avril 2023</w:t>
      </w:r>
      <w:r w:rsidRPr="006E0A0A">
        <w:t xml:space="preserve"> autorisant l’Institut national du cancer à</w:t>
      </w:r>
      <w:r w:rsidR="00656C1E">
        <w:t xml:space="preserve"> modifier un traitement de données à caractère personnel ayant pour finalité la</w:t>
      </w:r>
      <w:r w:rsidRPr="006E0A0A">
        <w:t xml:space="preserve"> constitu</w:t>
      </w:r>
      <w:r w:rsidR="00656C1E">
        <w:t>tion</w:t>
      </w:r>
      <w:r w:rsidRPr="006E0A0A">
        <w:t xml:space="preserve"> </w:t>
      </w:r>
      <w:r w:rsidR="00656C1E">
        <w:t>d’</w:t>
      </w:r>
      <w:r w:rsidRPr="006E0A0A">
        <w:t xml:space="preserve">un entrepôt de données de santé, dénommé </w:t>
      </w:r>
      <w:r w:rsidR="00FA2AD2">
        <w:t>«</w:t>
      </w:r>
      <w:r w:rsidR="00FA2AD2">
        <w:rPr>
          <w:rFonts w:ascii="Cambria" w:hAnsi="Cambria" w:cs="Cambria"/>
        </w:rPr>
        <w:t> </w:t>
      </w:r>
      <w:r w:rsidRPr="006E0A0A">
        <w:t>Plateforme de données en cancérologie</w:t>
      </w:r>
      <w:r w:rsidR="00FA2AD2">
        <w:rPr>
          <w:rFonts w:ascii="Cambria" w:hAnsi="Cambria" w:cs="Cambria"/>
        </w:rPr>
        <w:t> </w:t>
      </w:r>
      <w:r w:rsidR="00FA2AD2">
        <w:t>»</w:t>
      </w:r>
      <w:r w:rsidRPr="006E0A0A">
        <w:t xml:space="preserve">, nécessaire à la mise en œuvre de ses missions de service public,  </w:t>
      </w:r>
    </w:p>
    <w:p w14:paraId="38F6AE07" w14:textId="77777777" w:rsidR="00961E06" w:rsidRPr="006E0A0A" w:rsidRDefault="006E0A0A" w:rsidP="008D6650">
      <w:pPr>
        <w:jc w:val="both"/>
      </w:pPr>
      <w:r w:rsidRPr="006E0A0A">
        <w:t xml:space="preserve">Délibération de la Commission nationale de l’informatique et des libertés (CNIL) N°2019-083 en date du 20 juin 2019 autorisant l’Institut national du cancer à mettre en œuvre des traitements automatisés à des fins de recherche, d'étude et d'évaluation basés sur la </w:t>
      </w:r>
      <w:r w:rsidR="00FA2AD2">
        <w:t>«</w:t>
      </w:r>
      <w:r w:rsidR="00FA2AD2">
        <w:rPr>
          <w:rFonts w:ascii="Cambria" w:hAnsi="Cambria" w:cs="Cambria"/>
        </w:rPr>
        <w:t> </w:t>
      </w:r>
      <w:r w:rsidRPr="006E0A0A">
        <w:t>Plateforme de données en cancérologie</w:t>
      </w:r>
      <w:r w:rsidR="00FA2AD2">
        <w:rPr>
          <w:rFonts w:ascii="Cambria" w:hAnsi="Cambria" w:cs="Cambria"/>
        </w:rPr>
        <w:t> </w:t>
      </w:r>
      <w:r w:rsidR="00FA2AD2">
        <w:t>».</w:t>
      </w:r>
    </w:p>
    <w:p w14:paraId="6A7F1D21" w14:textId="77777777" w:rsidR="006E0A0A" w:rsidRPr="00961E06" w:rsidRDefault="006E0A0A" w:rsidP="008D6650">
      <w:pPr>
        <w:ind w:left="708"/>
        <w:jc w:val="both"/>
        <w:rPr>
          <w:b/>
        </w:rPr>
      </w:pPr>
      <w:r w:rsidRPr="00961E06">
        <w:rPr>
          <w:b/>
        </w:rPr>
        <w:t>Bibliographie</w:t>
      </w:r>
      <w:r w:rsidR="00FA2AD2">
        <w:rPr>
          <w:b/>
        </w:rPr>
        <w:t xml:space="preserve"> (exemples de travaux)</w:t>
      </w:r>
    </w:p>
    <w:p w14:paraId="298D6BFB" w14:textId="77777777" w:rsidR="006E0A0A" w:rsidRPr="006E0A0A" w:rsidRDefault="006E0A0A" w:rsidP="008D6650">
      <w:pPr>
        <w:jc w:val="both"/>
        <w:rPr>
          <w:noProof/>
        </w:rPr>
      </w:pPr>
      <w:r w:rsidRPr="006E0A0A">
        <w:rPr>
          <w:noProof/>
        </w:rPr>
        <w:t xml:space="preserve">1-Bousquet PJ, Lefeuvre D, Tuppin P </w:t>
      </w:r>
      <w:r w:rsidRPr="006E0A0A">
        <w:rPr>
          <w:i/>
          <w:noProof/>
        </w:rPr>
        <w:t>et al</w:t>
      </w:r>
      <w:r w:rsidRPr="006E0A0A">
        <w:rPr>
          <w:noProof/>
        </w:rPr>
        <w:t xml:space="preserve">. </w:t>
      </w:r>
      <w:r w:rsidRPr="006E0A0A">
        <w:rPr>
          <w:noProof/>
          <w:lang w:val="en-US"/>
        </w:rPr>
        <w:t xml:space="preserve">Cancer care and public health policy evaluations in France: Usefulness of the national cancer cohort. </w:t>
      </w:r>
      <w:r w:rsidRPr="006E0A0A">
        <w:rPr>
          <w:i/>
          <w:noProof/>
        </w:rPr>
        <w:t>PLoS One</w:t>
      </w:r>
      <w:r w:rsidRPr="006E0A0A">
        <w:rPr>
          <w:noProof/>
        </w:rPr>
        <w:t>. 2018 Oct 31;13(10):e0206448.</w:t>
      </w:r>
    </w:p>
    <w:p w14:paraId="317452BA" w14:textId="77777777" w:rsidR="006E0A0A" w:rsidRPr="006E0A0A" w:rsidRDefault="006E0A0A" w:rsidP="008D6650">
      <w:pPr>
        <w:jc w:val="both"/>
        <w:rPr>
          <w:noProof/>
        </w:rPr>
      </w:pPr>
      <w:r w:rsidRPr="006E0A0A">
        <w:rPr>
          <w:noProof/>
        </w:rPr>
        <w:t xml:space="preserve">2-Lefeuvre D, Le Bihan-Benjamin C, Pauporte I </w:t>
      </w:r>
      <w:r w:rsidRPr="006E0A0A">
        <w:rPr>
          <w:i/>
          <w:noProof/>
        </w:rPr>
        <w:t>et al</w:t>
      </w:r>
      <w:r w:rsidRPr="006E0A0A">
        <w:rPr>
          <w:noProof/>
        </w:rPr>
        <w:t xml:space="preserve">. </w:t>
      </w:r>
      <w:r w:rsidRPr="006E0A0A">
        <w:rPr>
          <w:noProof/>
          <w:lang w:val="en-US"/>
        </w:rPr>
        <w:t xml:space="preserve">French Medico-Administrative Data to Identify the Care Pathways of Women With Breast Cancer. </w:t>
      </w:r>
      <w:r w:rsidRPr="006E0A0A">
        <w:rPr>
          <w:noProof/>
        </w:rPr>
        <w:t>Clin Breast Cancer. 2017 Jul;17(4):e191-e7</w:t>
      </w:r>
    </w:p>
    <w:p w14:paraId="56967B8A" w14:textId="77777777" w:rsidR="006E0A0A" w:rsidRPr="006E0A0A" w:rsidRDefault="006E0A0A" w:rsidP="008D6650">
      <w:pPr>
        <w:jc w:val="both"/>
        <w:rPr>
          <w:noProof/>
          <w:lang w:val="en-US"/>
        </w:rPr>
      </w:pPr>
      <w:r w:rsidRPr="006E0A0A">
        <w:rPr>
          <w:noProof/>
        </w:rPr>
        <w:t>3-Lefeuvre D, Catajar N, Le Bihan-Benjamin C</w:t>
      </w:r>
      <w:r w:rsidRPr="006E0A0A">
        <w:rPr>
          <w:i/>
          <w:noProof/>
        </w:rPr>
        <w:t xml:space="preserve"> et al</w:t>
      </w:r>
      <w:r w:rsidRPr="006E0A0A">
        <w:rPr>
          <w:noProof/>
        </w:rPr>
        <w:t xml:space="preserve">. </w:t>
      </w:r>
      <w:r w:rsidRPr="006E0A0A">
        <w:rPr>
          <w:noProof/>
          <w:lang w:val="en-US"/>
        </w:rPr>
        <w:t>Breast cancer screening: Impact on care pathways. Cancer Medicine. 2019;00:1–9.</w:t>
      </w:r>
    </w:p>
    <w:p w14:paraId="660E5265" w14:textId="77777777" w:rsidR="00DB591B" w:rsidRPr="00DB591B" w:rsidRDefault="00DB591B" w:rsidP="008D6650">
      <w:pPr>
        <w:jc w:val="both"/>
        <w:rPr>
          <w:iCs/>
          <w:noProof/>
          <w:lang w:val="en-US"/>
        </w:rPr>
      </w:pPr>
      <w:bookmarkStart w:id="75" w:name="_Toc301789631"/>
      <w:r w:rsidRPr="001539FE">
        <w:rPr>
          <w:noProof/>
          <w:lang w:val="en-US"/>
        </w:rPr>
        <w:t xml:space="preserve">4-Janah A, Gauthier LR, Morin L </w:t>
      </w:r>
      <w:r w:rsidRPr="001539FE">
        <w:rPr>
          <w:i/>
          <w:noProof/>
          <w:lang w:val="en-US"/>
        </w:rPr>
        <w:t>et al</w:t>
      </w:r>
      <w:r w:rsidRPr="001539FE">
        <w:rPr>
          <w:noProof/>
          <w:lang w:val="en-US"/>
        </w:rPr>
        <w:t xml:space="preserve">. </w:t>
      </w:r>
      <w:r w:rsidRPr="006E0A0A">
        <w:rPr>
          <w:noProof/>
          <w:lang w:val="en-US"/>
        </w:rPr>
        <w:t xml:space="preserve">Access to palliative care for cancer patients between diagnosis and death: a national cohort study. </w:t>
      </w:r>
      <w:r w:rsidRPr="00DB591B">
        <w:rPr>
          <w:noProof/>
          <w:lang w:val="en-US"/>
        </w:rPr>
        <w:t xml:space="preserve">Clinical Epidemiology </w:t>
      </w:r>
      <w:r w:rsidRPr="00DB591B">
        <w:rPr>
          <w:iCs/>
          <w:noProof/>
          <w:lang w:val="en-US"/>
        </w:rPr>
        <w:t>2019 Jun 5;11:443-455</w:t>
      </w:r>
    </w:p>
    <w:p w14:paraId="4E7BD0CC" w14:textId="77777777" w:rsidR="00DB591B" w:rsidRPr="00FF6E2C" w:rsidRDefault="00DB591B" w:rsidP="008D6650">
      <w:pPr>
        <w:jc w:val="both"/>
        <w:rPr>
          <w:iCs/>
          <w:noProof/>
          <w:lang w:val="en-US"/>
        </w:rPr>
      </w:pPr>
      <w:r w:rsidRPr="00AF3473">
        <w:rPr>
          <w:iCs/>
          <w:noProof/>
          <w:lang w:val="en-US"/>
        </w:rPr>
        <w:t>5-Janah A, Le Bihan-Benjamin C, Mancini J,</w:t>
      </w:r>
      <w:r w:rsidRPr="00AF3473">
        <w:rPr>
          <w:i/>
          <w:noProof/>
          <w:lang w:val="en-US"/>
        </w:rPr>
        <w:t xml:space="preserve"> et al. </w:t>
      </w:r>
      <w:r w:rsidRPr="00FF6E2C">
        <w:rPr>
          <w:iCs/>
          <w:noProof/>
          <w:lang w:val="en-US"/>
        </w:rPr>
        <w:t>Access to inpatient palliative care among cancer patients in France: an analysis based on the national cancer cohort.</w:t>
      </w:r>
      <w:r>
        <w:rPr>
          <w:iCs/>
          <w:noProof/>
          <w:lang w:val="en-US"/>
        </w:rPr>
        <w:t xml:space="preserve"> </w:t>
      </w:r>
      <w:r w:rsidRPr="00FF6E2C">
        <w:rPr>
          <w:iCs/>
          <w:noProof/>
          <w:lang w:val="en-US"/>
        </w:rPr>
        <w:t>BMC Health Serv Res. 2020 Aug 26;20(1):798.</w:t>
      </w:r>
    </w:p>
    <w:p w14:paraId="7F05EF5B" w14:textId="77777777" w:rsidR="00D06410" w:rsidRDefault="00DB591B" w:rsidP="008D6650">
      <w:pPr>
        <w:jc w:val="both"/>
        <w:rPr>
          <w:i/>
          <w:noProof/>
        </w:rPr>
      </w:pPr>
      <w:r w:rsidRPr="00DB591B">
        <w:rPr>
          <w:iCs/>
          <w:noProof/>
          <w:lang w:val="en-US"/>
        </w:rPr>
        <w:t xml:space="preserve">6-Lailler G, Memoli V, Le Bihan Benjamin C, </w:t>
      </w:r>
      <w:r w:rsidRPr="00DB591B">
        <w:rPr>
          <w:i/>
          <w:noProof/>
          <w:lang w:val="en-US"/>
        </w:rPr>
        <w:t>et al.</w:t>
      </w:r>
      <w:r w:rsidRPr="00DB591B">
        <w:rPr>
          <w:iCs/>
          <w:noProof/>
          <w:lang w:val="en-US"/>
        </w:rPr>
        <w:t xml:space="preserve">. </w:t>
      </w:r>
      <w:r w:rsidRPr="00FF6E2C">
        <w:rPr>
          <w:iCs/>
          <w:noProof/>
          <w:lang w:val="en-US"/>
        </w:rPr>
        <w:t>Five-Year Adjuvant Endocrine Therapy Adherence Trajectories Among Women With Breast Cancer: A Nationwide French Study Using Administrative Data.</w:t>
      </w:r>
      <w:r>
        <w:rPr>
          <w:iCs/>
          <w:noProof/>
          <w:lang w:val="en-US"/>
        </w:rPr>
        <w:t xml:space="preserve"> </w:t>
      </w:r>
      <w:r w:rsidRPr="001539FE">
        <w:rPr>
          <w:iCs/>
          <w:noProof/>
        </w:rPr>
        <w:t xml:space="preserve">Clin Breast Cancer. 2021 </w:t>
      </w:r>
      <w:r w:rsidRPr="001539FE">
        <w:rPr>
          <w:i/>
          <w:noProof/>
        </w:rPr>
        <w:t>in press</w:t>
      </w:r>
    </w:p>
    <w:p w14:paraId="21BC80AE" w14:textId="77777777" w:rsidR="00913A06" w:rsidRPr="00913A06" w:rsidRDefault="00913A06" w:rsidP="00913A06">
      <w:pPr>
        <w:jc w:val="both"/>
        <w:rPr>
          <w:i/>
          <w:iCs/>
          <w:noProof/>
          <w:lang w:val="en-US"/>
        </w:rPr>
      </w:pPr>
      <w:r w:rsidRPr="00913A06">
        <w:rPr>
          <w:i/>
          <w:iCs/>
          <w:noProof/>
          <w:lang w:val="en-US"/>
        </w:rPr>
        <w:t>7-Dumas E, Laot L, Coussy F et al.</w:t>
      </w:r>
      <w:hyperlink r:id="rId21" w:history="1">
        <w:r w:rsidRPr="00913A06">
          <w:rPr>
            <w:rStyle w:val="Lienhypertexte"/>
            <w:i/>
            <w:iCs/>
            <w:noProof/>
            <w:lang w:val="en-US"/>
          </w:rPr>
          <w:t>The French Early Breast Cancer Cohort (FRESH): A Resource for Breast Cancer Research and Evaluations of Oncology Practices Based on the French National Healthcare System Database (SNDS).</w:t>
        </w:r>
      </w:hyperlink>
      <w:r w:rsidRPr="00913A06">
        <w:rPr>
          <w:i/>
          <w:iCs/>
          <w:noProof/>
          <w:lang w:val="en-US"/>
        </w:rPr>
        <w:t xml:space="preserve"> Cancers (Basel). 2022 May 27;14(11):2671. doi: 10.3390/cancers14112671.PMID: 35681651 </w:t>
      </w:r>
    </w:p>
    <w:p w14:paraId="57A1482F" w14:textId="77777777" w:rsidR="00913A06" w:rsidRPr="00913A06" w:rsidRDefault="00913A06" w:rsidP="00913A06">
      <w:pPr>
        <w:jc w:val="both"/>
        <w:rPr>
          <w:i/>
          <w:iCs/>
          <w:noProof/>
          <w:lang w:val="en-US"/>
        </w:rPr>
      </w:pPr>
      <w:r w:rsidRPr="00913A06">
        <w:rPr>
          <w:i/>
          <w:iCs/>
          <w:noProof/>
          <w:lang w:val="en-US"/>
        </w:rPr>
        <w:t xml:space="preserve">8-Houzard S, Courtois E, Le Bihan Benjamin C et al </w:t>
      </w:r>
      <w:hyperlink r:id="rId22" w:history="1">
        <w:r w:rsidRPr="00913A06">
          <w:rPr>
            <w:rStyle w:val="Lienhypertexte"/>
            <w:i/>
            <w:iCs/>
            <w:noProof/>
            <w:lang w:val="en-US"/>
          </w:rPr>
          <w:t>Monitoring Breast Cancer Care Quality at National and Local Level Using the French National Cancer Cohort.</w:t>
        </w:r>
      </w:hyperlink>
      <w:r w:rsidRPr="00913A06">
        <w:rPr>
          <w:i/>
          <w:iCs/>
          <w:noProof/>
          <w:lang w:val="en-US"/>
        </w:rPr>
        <w:t xml:space="preserve"> Clin Breast Cancer. 2022 Oct;22(7):e832-e841. doi: 10.1016/j.clbc.2022.05.006. Epub 2022 May 21.PMID: 35750594</w:t>
      </w:r>
    </w:p>
    <w:p w14:paraId="615B1D05" w14:textId="77777777" w:rsidR="00913A06" w:rsidRPr="00913A06" w:rsidRDefault="00913A06" w:rsidP="00913A06">
      <w:pPr>
        <w:jc w:val="both"/>
        <w:rPr>
          <w:i/>
          <w:iCs/>
          <w:noProof/>
          <w:lang w:val="en-US"/>
        </w:rPr>
      </w:pPr>
      <w:r w:rsidRPr="00913A06">
        <w:rPr>
          <w:i/>
          <w:iCs/>
          <w:noProof/>
          <w:lang w:val="en-US"/>
        </w:rPr>
        <w:t>9-Dumas E, Grandal Rejo B, Gougis P et al Concomitant medication, comorbidity and survival 1 in patients with breast cancer Nature Communications 2024 in press</w:t>
      </w:r>
    </w:p>
    <w:p w14:paraId="7F7542DF" w14:textId="77777777" w:rsidR="00913A06" w:rsidRPr="001539FE" w:rsidRDefault="00913A06" w:rsidP="008D6650">
      <w:pPr>
        <w:jc w:val="both"/>
        <w:rPr>
          <w:iCs/>
          <w:noProof/>
        </w:rPr>
      </w:pPr>
    </w:p>
    <w:p w14:paraId="50936118" w14:textId="77777777" w:rsidR="00D06410" w:rsidRPr="009A1AB4" w:rsidRDefault="009A1AB4" w:rsidP="008D6650">
      <w:pPr>
        <w:jc w:val="both"/>
        <w:rPr>
          <w:b/>
          <w:bCs/>
          <w:iCs/>
          <w:noProof/>
        </w:rPr>
      </w:pPr>
      <w:r w:rsidRPr="001539FE">
        <w:rPr>
          <w:iCs/>
          <w:noProof/>
        </w:rPr>
        <w:tab/>
      </w:r>
      <w:r w:rsidRPr="009A1AB4">
        <w:rPr>
          <w:b/>
          <w:bCs/>
          <w:iCs/>
          <w:noProof/>
        </w:rPr>
        <w:t>Pour plus d’informations</w:t>
      </w:r>
    </w:p>
    <w:p w14:paraId="4100A7C4" w14:textId="1970741D" w:rsidR="009A1AB4" w:rsidRDefault="009A1AB4" w:rsidP="008D6650">
      <w:pPr>
        <w:jc w:val="both"/>
      </w:pPr>
      <w:r w:rsidRPr="009A1AB4">
        <w:rPr>
          <w:iCs/>
          <w:noProof/>
        </w:rPr>
        <w:t>Un</w:t>
      </w:r>
      <w:r>
        <w:rPr>
          <w:iCs/>
          <w:noProof/>
        </w:rPr>
        <w:t>e information collective</w:t>
      </w:r>
      <w:r w:rsidRPr="009A1AB4">
        <w:t xml:space="preserve"> </w:t>
      </w:r>
      <w:r>
        <w:t>est proposée sur le site internet de l’Institut</w:t>
      </w:r>
      <w:r>
        <w:rPr>
          <w:rFonts w:ascii="Cambria" w:hAnsi="Cambria" w:cs="Cambria"/>
        </w:rPr>
        <w:t> </w:t>
      </w:r>
      <w:r>
        <w:t xml:space="preserve">: </w:t>
      </w:r>
      <w:hyperlink r:id="rId23" w:history="1">
        <w:r w:rsidR="00517B1C" w:rsidRPr="00694707">
          <w:rPr>
            <w:rStyle w:val="Lienhypertexte"/>
          </w:rPr>
          <w:t>https://www.cancer.fr/</w:t>
        </w:r>
      </w:hyperlink>
    </w:p>
    <w:p w14:paraId="2F451E78" w14:textId="77777777" w:rsidR="00517B1C" w:rsidRDefault="00517B1C" w:rsidP="008D6650">
      <w:pPr>
        <w:jc w:val="both"/>
      </w:pPr>
    </w:p>
    <w:p w14:paraId="5130E012" w14:textId="77777777" w:rsidR="009A1AB4" w:rsidRDefault="009A0668" w:rsidP="008D6650">
      <w:pPr>
        <w:jc w:val="both"/>
        <w:rPr>
          <w:iCs/>
          <w:noProof/>
        </w:rPr>
      </w:pPr>
      <w:r>
        <w:rPr>
          <w:iCs/>
          <w:noProof/>
          <w:lang w:eastAsia="fr-FR"/>
        </w:rPr>
        <mc:AlternateContent>
          <mc:Choice Requires="wpg">
            <w:drawing>
              <wp:anchor distT="0" distB="0" distL="114300" distR="114300" simplePos="0" relativeHeight="251661312" behindDoc="0" locked="0" layoutInCell="1" allowOverlap="1" wp14:anchorId="46E60FD9" wp14:editId="718D6CEF">
                <wp:simplePos x="0" y="0"/>
                <wp:positionH relativeFrom="column">
                  <wp:posOffset>1729105</wp:posOffset>
                </wp:positionH>
                <wp:positionV relativeFrom="paragraph">
                  <wp:posOffset>22860</wp:posOffset>
                </wp:positionV>
                <wp:extent cx="2159000" cy="1168400"/>
                <wp:effectExtent l="19050" t="19050" r="31750" b="31750"/>
                <wp:wrapNone/>
                <wp:docPr id="16" name="Groupe 16"/>
                <wp:cNvGraphicFramePr/>
                <a:graphic xmlns:a="http://schemas.openxmlformats.org/drawingml/2006/main">
                  <a:graphicData uri="http://schemas.microsoft.com/office/word/2010/wordprocessingGroup">
                    <wpg:wgp>
                      <wpg:cNvGrpSpPr/>
                      <wpg:grpSpPr>
                        <a:xfrm>
                          <a:off x="0" y="0"/>
                          <a:ext cx="2159000" cy="1168400"/>
                          <a:chOff x="0" y="0"/>
                          <a:chExt cx="3791585" cy="2011045"/>
                        </a:xfrm>
                      </wpg:grpSpPr>
                      <wps:wsp>
                        <wps:cNvPr id="21" name="Rectangle : coins arrondis 21"/>
                        <wps:cNvSpPr>
                          <a:spLocks/>
                        </wps:cNvSpPr>
                        <wps:spPr>
                          <a:xfrm>
                            <a:off x="0" y="0"/>
                            <a:ext cx="3791585" cy="2011045"/>
                          </a:xfrm>
                          <a:prstGeom prst="roundRect">
                            <a:avLst/>
                          </a:prstGeom>
                          <a:noFill/>
                          <a:ln w="5715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 20"/>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22250" y="317500"/>
                            <a:ext cx="1552575" cy="1297305"/>
                          </a:xfrm>
                          <a:prstGeom prst="rect">
                            <a:avLst/>
                          </a:prstGeom>
                          <a:noFill/>
                          <a:ln>
                            <a:noFill/>
                          </a:ln>
                        </pic:spPr>
                      </pic:pic>
                      <pic:pic xmlns:pic="http://schemas.openxmlformats.org/drawingml/2006/picture">
                        <pic:nvPicPr>
                          <pic:cNvPr id="11" name="Image 19"/>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828800" y="171450"/>
                            <a:ext cx="1701165" cy="16160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2EB6E1" id="Groupe 16" o:spid="_x0000_s1026" style="position:absolute;margin-left:136.15pt;margin-top:1.8pt;width:170pt;height:92pt;z-index:251661312;mso-width-relative:margin;mso-height-relative:margin" coordsize="37915,2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">
                <v:roundrect id="Rectangle : coins arrondis 21" o:spid="_x0000_s1027" style="position:absolute;width:37915;height:201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" filled="f" strokecolor="#00b0f0" strokeweight="4.5pt">
                  <v:path arrowok="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8" type="#_x0000_t75" style="position:absolute;left:2222;top:3175;width:15526;height:12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">
                  <v:imagedata r:id="rId39" o:title=""/>
                  <o:lock v:ext="edit" aspectratio="f"/>
                </v:shape>
                <v:shape id="Image 19" o:spid="_x0000_s1029" type="#_x0000_t75" style="position:absolute;left:18288;top:1714;width:17011;height:16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">
                  <v:imagedata r:id="rId40" o:title=""/>
                  <o:lock v:ext="edit" aspectratio="f"/>
                </v:shape>
              </v:group>
            </w:pict>
          </mc:Fallback>
        </mc:AlternateContent>
      </w:r>
    </w:p>
    <w:tbl>
      <w:tblPr>
        <w:tblW w:w="5790" w:type="dxa"/>
        <w:jc w:val="center"/>
        <w:tblLayout w:type="fixed"/>
        <w:tblLook w:val="04A0" w:firstRow="1" w:lastRow="0" w:firstColumn="1" w:lastColumn="0" w:noHBand="0" w:noVBand="1"/>
      </w:tblPr>
      <w:tblGrid>
        <w:gridCol w:w="2529"/>
        <w:gridCol w:w="3261"/>
      </w:tblGrid>
      <w:tr w:rsidR="00161BED" w14:paraId="688EAD11" w14:textId="77777777" w:rsidTr="00B07A30">
        <w:trPr>
          <w:jc w:val="center"/>
        </w:trPr>
        <w:tc>
          <w:tcPr>
            <w:tcW w:w="2529" w:type="dxa"/>
            <w:vAlign w:val="center"/>
          </w:tcPr>
          <w:p w14:paraId="5B10F285" w14:textId="77777777" w:rsidR="009D4F1A" w:rsidRDefault="009D4F1A" w:rsidP="008D6650">
            <w:pPr>
              <w:ind w:left="9"/>
              <w:jc w:val="both"/>
              <w:rPr>
                <w:iCs/>
                <w:noProof/>
              </w:rPr>
            </w:pPr>
          </w:p>
        </w:tc>
        <w:tc>
          <w:tcPr>
            <w:tcW w:w="3261" w:type="dxa"/>
            <w:vAlign w:val="center"/>
          </w:tcPr>
          <w:p w14:paraId="3434CC4E" w14:textId="77777777" w:rsidR="009D4F1A" w:rsidRDefault="009D4F1A" w:rsidP="008D6650">
            <w:pPr>
              <w:ind w:right="166"/>
              <w:jc w:val="both"/>
              <w:rPr>
                <w:iCs/>
                <w:noProof/>
              </w:rPr>
            </w:pPr>
          </w:p>
        </w:tc>
      </w:tr>
    </w:tbl>
    <w:p w14:paraId="4492521F" w14:textId="77777777" w:rsidR="009D4F1A" w:rsidRPr="009A1AB4" w:rsidRDefault="009D4F1A" w:rsidP="008D6650">
      <w:pPr>
        <w:jc w:val="both"/>
        <w:rPr>
          <w:iCs/>
          <w:noProof/>
        </w:rPr>
      </w:pPr>
    </w:p>
    <w:p w14:paraId="154D7523" w14:textId="77777777" w:rsidR="008C489D" w:rsidRDefault="008C489D" w:rsidP="008D6650">
      <w:pPr>
        <w:spacing w:line="240" w:lineRule="auto"/>
        <w:jc w:val="both"/>
      </w:pPr>
      <w:r>
        <w:br w:type="page"/>
      </w:r>
    </w:p>
    <w:p w14:paraId="57937A62" w14:textId="0878D66B" w:rsidR="00F6165E" w:rsidRDefault="00F6165E" w:rsidP="008D6583">
      <w:pPr>
        <w:pStyle w:val="Titre4"/>
      </w:pPr>
      <w:bookmarkStart w:id="76" w:name="_Toc161759420"/>
      <w:r>
        <w:t>Aspects réglementaires</w:t>
      </w:r>
      <w:bookmarkEnd w:id="76"/>
    </w:p>
    <w:p w14:paraId="4FCAE40F" w14:textId="580922EB" w:rsidR="00F6165E" w:rsidRPr="000A6E50" w:rsidRDefault="00F6165E" w:rsidP="008D6650">
      <w:pPr>
        <w:jc w:val="both"/>
        <w:rPr>
          <w:i/>
          <w:highlight w:val="yellow"/>
        </w:rPr>
      </w:pPr>
      <w:r w:rsidRPr="000A6E50">
        <w:rPr>
          <w:i/>
          <w:highlight w:val="yellow"/>
        </w:rPr>
        <w:t>Rédigé par l’</w:t>
      </w:r>
      <w:r w:rsidR="00903EBA">
        <w:rPr>
          <w:i/>
          <w:highlight w:val="yellow"/>
        </w:rPr>
        <w:t>Institut</w:t>
      </w:r>
    </w:p>
    <w:p w14:paraId="359BE0DA" w14:textId="77777777" w:rsidR="00F6165E" w:rsidRPr="000A6E50" w:rsidRDefault="00F6165E" w:rsidP="008D6650">
      <w:pPr>
        <w:jc w:val="both"/>
        <w:rPr>
          <w:i/>
          <w:highlight w:val="yellow"/>
        </w:rPr>
      </w:pPr>
      <w:r w:rsidRPr="000A6E50">
        <w:rPr>
          <w:i/>
          <w:highlight w:val="yellow"/>
        </w:rPr>
        <w:t>Si plusieurs sources de données, mettre les autorisations de chacun des sources.</w:t>
      </w:r>
    </w:p>
    <w:p w14:paraId="380DD706" w14:textId="77777777" w:rsidR="009B21EA" w:rsidRDefault="00F6165E" w:rsidP="001C16C3">
      <w:pPr>
        <w:jc w:val="both"/>
      </w:pPr>
      <w:r w:rsidRPr="000A6E50">
        <w:rPr>
          <w:i/>
          <w:highlight w:val="yellow"/>
        </w:rPr>
        <w:t xml:space="preserve">La plateforme de données en cancérologie est un entrepôt de données </w:t>
      </w:r>
      <w:r>
        <w:rPr>
          <w:i/>
          <w:highlight w:val="yellow"/>
        </w:rPr>
        <w:t>autorisé par</w:t>
      </w:r>
      <w:r w:rsidRPr="000A6E50">
        <w:rPr>
          <w:i/>
          <w:highlight w:val="yellow"/>
        </w:rPr>
        <w:t xml:space="preserve"> la Cnil</w:t>
      </w:r>
      <w:r w:rsidRPr="000A6E50">
        <w:rPr>
          <w:rFonts w:ascii="Cambria" w:hAnsi="Cambria" w:cs="Cambria"/>
          <w:i/>
          <w:highlight w:val="yellow"/>
        </w:rPr>
        <w:t> </w:t>
      </w:r>
      <w:r w:rsidRPr="000A6E50">
        <w:rPr>
          <w:i/>
          <w:highlight w:val="yellow"/>
        </w:rPr>
        <w:t>: délibération de la Commission nationale de l’informatique et des libertés (CNIL) N_2019-082 en date du 20 juin 2019 autorisant l’Institut national du cancer à constituer un entrepôt de données de santé, dénommé « Plateforme de données en cancérologie », nécessaire à la mise en œuvre de ses missions de service public.</w:t>
      </w:r>
      <w:bookmarkStart w:id="77" w:name="_Toc314487325"/>
      <w:bookmarkStart w:id="78" w:name="_Toc356555071"/>
      <w:bookmarkStart w:id="79" w:name="_Toc454883692"/>
    </w:p>
    <w:p w14:paraId="05FED421" w14:textId="77777777" w:rsidR="00F6165E" w:rsidRDefault="00F6165E" w:rsidP="00DA4183">
      <w:pPr>
        <w:pStyle w:val="Titre3"/>
        <w:numPr>
          <w:ilvl w:val="0"/>
          <w:numId w:val="24"/>
        </w:numPr>
        <w:jc w:val="both"/>
      </w:pPr>
      <w:bookmarkStart w:id="80" w:name="_Toc161759421"/>
      <w:r w:rsidRPr="009B21EA">
        <w:t xml:space="preserve">Avis </w:t>
      </w:r>
      <w:r w:rsidRPr="00A51A3A">
        <w:t xml:space="preserve">du </w:t>
      </w:r>
      <w:r>
        <w:t>Comité scientifique et éthique de la Plateforme de données en cancérologie, du</w:t>
      </w:r>
      <w:r w:rsidRPr="00A51A3A">
        <w:t xml:space="preserve"> C</w:t>
      </w:r>
      <w:r>
        <w:t>ESREES</w:t>
      </w:r>
      <w:r w:rsidRPr="00A51A3A">
        <w:t xml:space="preserve"> et autorisation de la CNIL</w:t>
      </w:r>
      <w:bookmarkEnd w:id="77"/>
      <w:bookmarkEnd w:id="78"/>
      <w:bookmarkEnd w:id="79"/>
      <w:bookmarkEnd w:id="80"/>
    </w:p>
    <w:p w14:paraId="1C1CAC64" w14:textId="77777777" w:rsidR="00F6165E" w:rsidRPr="00CD2140" w:rsidRDefault="00F6165E" w:rsidP="008D6650">
      <w:pPr>
        <w:jc w:val="both"/>
        <w:rPr>
          <w:i/>
          <w:iCs/>
        </w:rPr>
      </w:pPr>
      <w:r w:rsidRPr="00CD2140">
        <w:rPr>
          <w:i/>
          <w:iCs/>
          <w:highlight w:val="yellow"/>
        </w:rPr>
        <w:t xml:space="preserve">A adapter si passage ou non </w:t>
      </w:r>
      <w:proofErr w:type="spellStart"/>
      <w:r w:rsidRPr="00CD2140">
        <w:rPr>
          <w:i/>
          <w:iCs/>
          <w:highlight w:val="yellow"/>
        </w:rPr>
        <w:t>Cesrees</w:t>
      </w:r>
      <w:proofErr w:type="spellEnd"/>
      <w:r w:rsidRPr="00CD2140">
        <w:rPr>
          <w:i/>
          <w:iCs/>
          <w:highlight w:val="yellow"/>
        </w:rPr>
        <w:t xml:space="preserve"> / Cnil</w:t>
      </w:r>
    </w:p>
    <w:p w14:paraId="130E26DD" w14:textId="77777777" w:rsidR="00F6165E" w:rsidRDefault="00F6165E" w:rsidP="008D6650">
      <w:pPr>
        <w:jc w:val="both"/>
      </w:pPr>
      <w:r w:rsidRPr="002B7CBA">
        <w:t>Préalablement à la conduite de l’étude, un avis / une autorisation sera obtenu</w:t>
      </w:r>
      <w:r>
        <w:t>e</w:t>
      </w:r>
      <w:r w:rsidRPr="002B7CBA">
        <w:t xml:space="preserve"> du Comité scientifique et éthique de la Plateforme de données en cancérologie, du Comité Éthique et Scientifique pour les Recherches, les Études et les Évaluations dans le domaine de la santé (</w:t>
      </w:r>
      <w:proofErr w:type="spellStart"/>
      <w:r w:rsidRPr="002B7CBA">
        <w:t>Cesrees</w:t>
      </w:r>
      <w:proofErr w:type="spellEnd"/>
      <w:r w:rsidRPr="002B7CBA">
        <w:t>) et de la Commission</w:t>
      </w:r>
      <w:r>
        <w:t xml:space="preserve"> nationale</w:t>
      </w:r>
      <w:r w:rsidRPr="002B7CBA">
        <w:t xml:space="preserve"> </w:t>
      </w:r>
      <w:r>
        <w:t>de l’</w:t>
      </w:r>
      <w:r w:rsidRPr="002B7CBA">
        <w:t xml:space="preserve">informatique et </w:t>
      </w:r>
      <w:r>
        <w:t xml:space="preserve">des </w:t>
      </w:r>
      <w:r w:rsidRPr="002B7CBA">
        <w:t>liberté</w:t>
      </w:r>
      <w:r>
        <w:t>s</w:t>
      </w:r>
      <w:r w:rsidRPr="002B7CBA">
        <w:t xml:space="preserve"> (Cnil).</w:t>
      </w:r>
    </w:p>
    <w:p w14:paraId="20F5980C" w14:textId="77777777" w:rsidR="00F6165E" w:rsidRPr="002B7CBA" w:rsidRDefault="00F6165E" w:rsidP="008D6650">
      <w:pPr>
        <w:jc w:val="both"/>
      </w:pPr>
      <w:r>
        <w:t>La composition et l’avis du Comité scientifique et éthique de la plateforme de données en cancérologie sont rapportés en annexe.</w:t>
      </w:r>
    </w:p>
    <w:p w14:paraId="08D6BAD6" w14:textId="77777777" w:rsidR="00F6165E" w:rsidRDefault="00F6165E" w:rsidP="00DA4183">
      <w:pPr>
        <w:pStyle w:val="Titre3"/>
        <w:numPr>
          <w:ilvl w:val="0"/>
          <w:numId w:val="24"/>
        </w:numPr>
        <w:jc w:val="both"/>
      </w:pPr>
      <w:bookmarkStart w:id="81" w:name="_Toc161759422"/>
      <w:r>
        <w:t>Accès aux données et confidentialité</w:t>
      </w:r>
      <w:bookmarkEnd w:id="81"/>
    </w:p>
    <w:p w14:paraId="30CA593E" w14:textId="77777777" w:rsidR="00F6165E" w:rsidRPr="002B7CBA" w:rsidRDefault="00F6165E" w:rsidP="008D6650">
      <w:pPr>
        <w:jc w:val="both"/>
      </w:pPr>
      <w:r w:rsidRPr="002B7CBA">
        <w:t>Conformément aux dispositions relatives à la plateforme de données, l’accès aux données est règlementé et uniquement possible aux personnes individuellement identifiées et habilitées par l’Institut national du cancer.</w:t>
      </w:r>
    </w:p>
    <w:p w14:paraId="5DCE6D86" w14:textId="77777777" w:rsidR="00F6165E" w:rsidRDefault="00F6165E" w:rsidP="00DA4183">
      <w:pPr>
        <w:pStyle w:val="Titre3"/>
        <w:numPr>
          <w:ilvl w:val="0"/>
          <w:numId w:val="24"/>
        </w:numPr>
        <w:jc w:val="both"/>
      </w:pPr>
      <w:bookmarkStart w:id="82" w:name="_Toc161759423"/>
      <w:r>
        <w:t>Audit</w:t>
      </w:r>
      <w:bookmarkEnd w:id="82"/>
    </w:p>
    <w:p w14:paraId="534C8AE4" w14:textId="77777777" w:rsidR="00F6165E" w:rsidRPr="002B7CBA" w:rsidRDefault="00F6165E" w:rsidP="008D6650">
      <w:pPr>
        <w:jc w:val="both"/>
      </w:pPr>
      <w:bookmarkStart w:id="83" w:name="_Toc454883690"/>
      <w:r w:rsidRPr="00483881">
        <w:t xml:space="preserve">L’ensemble des actions conduites sur la plateforme de données est tracé. Des audits pourront être réalisés </w:t>
      </w:r>
      <w:r w:rsidR="009A0668">
        <w:t xml:space="preserve">par les autorités compétentes </w:t>
      </w:r>
      <w:r w:rsidRPr="00483881">
        <w:t>afin de s’assurer que les exploitations effectuées sont en accord avec le présent protocole et du respect des règles d’utilisation des données de la plateforme. Des audits des extractions agrégées pourr</w:t>
      </w:r>
      <w:r>
        <w:t>ont</w:t>
      </w:r>
      <w:r w:rsidRPr="00483881">
        <w:t xml:space="preserve"> également être effectués.</w:t>
      </w:r>
    </w:p>
    <w:p w14:paraId="3A79252B" w14:textId="77777777" w:rsidR="00F6165E" w:rsidRPr="00FC4D7A" w:rsidRDefault="00F6165E" w:rsidP="00DA4183">
      <w:pPr>
        <w:pStyle w:val="Titre3"/>
        <w:numPr>
          <w:ilvl w:val="0"/>
          <w:numId w:val="24"/>
        </w:numPr>
        <w:jc w:val="both"/>
      </w:pPr>
      <w:bookmarkStart w:id="84" w:name="_Toc161759424"/>
      <w:r w:rsidRPr="008601DD">
        <w:t>Archivage des documents</w:t>
      </w:r>
      <w:r>
        <w:t xml:space="preserve"> </w:t>
      </w:r>
      <w:bookmarkStart w:id="85" w:name="_Toc286141726"/>
      <w:bookmarkStart w:id="86" w:name="_Toc454883695"/>
      <w:r>
        <w:t xml:space="preserve">et </w:t>
      </w:r>
      <w:r w:rsidRPr="00A51A3A">
        <w:t>Rapport final de l</w:t>
      </w:r>
      <w:bookmarkEnd w:id="85"/>
      <w:bookmarkEnd w:id="86"/>
      <w:r>
        <w:t>’étude</w:t>
      </w:r>
      <w:bookmarkEnd w:id="84"/>
    </w:p>
    <w:p w14:paraId="5493C261" w14:textId="77777777" w:rsidR="00F6165E" w:rsidRPr="005B0A0F" w:rsidRDefault="00F6165E" w:rsidP="008D6650">
      <w:pPr>
        <w:jc w:val="both"/>
      </w:pPr>
      <w:bookmarkStart w:id="87" w:name="_Toc312423669"/>
      <w:bookmarkEnd w:id="83"/>
      <w:r>
        <w:t>Les principaux documents relatifs à l’étude font l’objet d’un plan archivage. Ceci concerne les autorisations et évaluations, l</w:t>
      </w:r>
      <w:r w:rsidRPr="005B0A0F">
        <w:t>e rapport d’étude ainsi que l’ensemble des exportations (données agrégées et résultats d’analyses).</w:t>
      </w:r>
    </w:p>
    <w:p w14:paraId="4394E253" w14:textId="77777777" w:rsidR="00F6165E" w:rsidRDefault="00F6165E" w:rsidP="008D6650">
      <w:pPr>
        <w:jc w:val="both"/>
      </w:pPr>
      <w:r w:rsidRPr="005B0A0F">
        <w:t>De mêmes, l’Institut conservera les documents et rapports nécessaires à la réalisation des actions de transparence telles qu’édictées par la règlementation. L’étude sera enregistré</w:t>
      </w:r>
      <w:r>
        <w:t>e</w:t>
      </w:r>
      <w:r w:rsidRPr="005B0A0F">
        <w:t xml:space="preserve"> sur le répertoire des études conduites à partir des données du SNDS mis en place par le </w:t>
      </w:r>
      <w:proofErr w:type="spellStart"/>
      <w:r w:rsidRPr="005B0A0F">
        <w:t>Health</w:t>
      </w:r>
      <w:proofErr w:type="spellEnd"/>
      <w:r w:rsidRPr="005B0A0F">
        <w:t xml:space="preserve"> data hub. </w:t>
      </w:r>
      <w:r>
        <w:t>Le rapport d’étude final sera remis au HDH dans les 2 ans suivant la fin de l’étude. Un rapport sera également rendu public, soit sous la forme d’une publication, soit sous la forme du rapport d’étude transmis au HDH, en cas de non publication des résultats dans les temps impartis.</w:t>
      </w:r>
      <w:bookmarkEnd w:id="87"/>
    </w:p>
    <w:p w14:paraId="41BB50E3" w14:textId="77777777" w:rsidR="008C489D" w:rsidRPr="009A0668" w:rsidRDefault="008C489D" w:rsidP="00DA4183">
      <w:pPr>
        <w:pStyle w:val="Titre3"/>
        <w:numPr>
          <w:ilvl w:val="0"/>
          <w:numId w:val="24"/>
        </w:numPr>
        <w:jc w:val="both"/>
      </w:pPr>
      <w:bookmarkStart w:id="88" w:name="_Toc68673858"/>
      <w:bookmarkStart w:id="89" w:name="_Toc75166265"/>
      <w:bookmarkStart w:id="90" w:name="_Toc161759425"/>
      <w:r w:rsidRPr="00F6165E">
        <w:t xml:space="preserve">Délibération de la CNIL - Délibération </w:t>
      </w:r>
      <w:r w:rsidR="00656C1E">
        <w:t>2023-040</w:t>
      </w:r>
      <w:r w:rsidRPr="00F6165E">
        <w:t xml:space="preserve"> du 20/</w:t>
      </w:r>
      <w:r w:rsidR="00656C1E" w:rsidRPr="00F6165E">
        <w:t>0</w:t>
      </w:r>
      <w:r w:rsidR="00656C1E">
        <w:t>4</w:t>
      </w:r>
      <w:r w:rsidRPr="00F6165E">
        <w:t>/20</w:t>
      </w:r>
      <w:r w:rsidR="00656C1E">
        <w:t>23</w:t>
      </w:r>
      <w:bookmarkEnd w:id="88"/>
      <w:bookmarkEnd w:id="89"/>
      <w:bookmarkEnd w:id="90"/>
    </w:p>
    <w:p w14:paraId="4A1AD9EC"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La Commission nationale de l'informatique et des libertés,</w:t>
      </w:r>
    </w:p>
    <w:p w14:paraId="03271B30"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Saisie par l’Institut national du cancer d’une demande de modification de l’autorisation relative à un traitement automatisé de données à caractère personnel ayant pour finalité la constitution d'un entrepôt de données de santé visant à étudier les trajectoires des personnes atteintes d'un cancer ;</w:t>
      </w:r>
    </w:p>
    <w:p w14:paraId="0E4ABBDC"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Vu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ou RGPD) ;</w:t>
      </w:r>
    </w:p>
    <w:p w14:paraId="64159BF9"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Vu la loi n° 78-17 du 6 janvier 1978 modifiée relative à l’informatique, aux fichiers et aux libertés, notamment ses articles 44-3° et 66-III ;</w:t>
      </w:r>
    </w:p>
    <w:p w14:paraId="2C0D8104" w14:textId="7674215A"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Vu la délibération n° 2019-082 du 20 juin 2019 autorisant l’Institut national du cancer (INCa) à mettre en œuvre un traitement automatisé de données à caractère personnel ayant pour finalité la constitution d’un entrepôt de données de santé visant à étudier les trajectoires des personnes atteintes d’un cancer, intitulé : "Plateforme de données en cancérologie" ;</w:t>
      </w:r>
    </w:p>
    <w:p w14:paraId="1D1B3CF7"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Vu la délibération n° 2021-118 du 7 octobre 2021 portant adoption d’un référentiel relatif aux traitements de données à caractère personnel mis en œuvre à des fins de création d’entrepôts de données dans le domaine de la santé ;</w:t>
      </w:r>
    </w:p>
    <w:p w14:paraId="38FE8049"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Vu le dossier et ses compléments ;</w:t>
      </w:r>
    </w:p>
    <w:p w14:paraId="168C3EF9" w14:textId="77777777" w:rsidR="00656C1E" w:rsidRPr="00656C1E" w:rsidRDefault="00656C1E" w:rsidP="00951FC3">
      <w:pPr>
        <w:shd w:val="clear" w:color="auto" w:fill="FFFFFF"/>
        <w:spacing w:after="240" w:line="240" w:lineRule="auto"/>
        <w:ind w:right="-1135"/>
        <w:jc w:val="both"/>
        <w:rPr>
          <w:rFonts w:ascii="Arial" w:eastAsia="Times New Roman" w:hAnsi="Arial" w:cs="Arial"/>
          <w:color w:val="000000"/>
          <w:sz w:val="21"/>
          <w:szCs w:val="21"/>
          <w:lang w:eastAsia="fr-FR"/>
        </w:rPr>
      </w:pPr>
      <w:r w:rsidRPr="00656C1E">
        <w:rPr>
          <w:rFonts w:ascii="Arial" w:eastAsia="Times New Roman" w:hAnsi="Arial" w:cs="Arial"/>
          <w:color w:val="000000"/>
          <w:sz w:val="21"/>
          <w:szCs w:val="21"/>
          <w:lang w:eastAsia="fr-FR"/>
        </w:rPr>
        <w:t>Sur la proposition de Mme Valérie PEUGEOT, commissaire, et après avoir entendu les observations de M. Benjamin TOUZANNE, commissaire du Gouvernement.</w:t>
      </w:r>
    </w:p>
    <w:p w14:paraId="6888167F" w14:textId="77777777" w:rsidR="00DA4183" w:rsidRPr="00DA4183" w:rsidRDefault="00DA4183" w:rsidP="00DA4183">
      <w:pPr>
        <w:shd w:val="clear" w:color="auto" w:fill="FFFFFF"/>
        <w:spacing w:after="240" w:line="240" w:lineRule="auto"/>
        <w:rPr>
          <w:rFonts w:ascii="Arial" w:eastAsia="Times New Roman" w:hAnsi="Arial" w:cs="Arial"/>
          <w:color w:val="000000"/>
          <w:kern w:val="0"/>
          <w:sz w:val="21"/>
          <w:szCs w:val="21"/>
          <w:lang w:eastAsia="fr-FR"/>
          <w14:ligatures w14:val="none"/>
        </w:rPr>
      </w:pPr>
      <w:r w:rsidRPr="00DA4183">
        <w:rPr>
          <w:rFonts w:ascii="Arial" w:eastAsia="Times New Roman" w:hAnsi="Arial" w:cs="Arial"/>
          <w:b/>
          <w:bCs/>
          <w:color w:val="000000"/>
          <w:kern w:val="0"/>
          <w:sz w:val="21"/>
          <w:szCs w:val="21"/>
          <w:lang w:eastAsia="fr-FR"/>
          <w14:ligatures w14:val="none"/>
        </w:rPr>
        <w:t>Formule les observations suivantes :</w:t>
      </w:r>
    </w:p>
    <w:tbl>
      <w:tblPr>
        <w:tblW w:w="10348" w:type="dxa"/>
        <w:tblInd w:w="-417"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127"/>
        <w:gridCol w:w="8221"/>
      </w:tblGrid>
      <w:tr w:rsidR="00DA4183" w:rsidRPr="00DA4183" w14:paraId="1AD3D734" w14:textId="77777777" w:rsidTr="00DA4183">
        <w:tc>
          <w:tcPr>
            <w:tcW w:w="2127"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7D3EFB6"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Responsable du traitement</w:t>
            </w:r>
          </w:p>
        </w:tc>
        <w:tc>
          <w:tcPr>
            <w:tcW w:w="8221"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89FF056"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L’Institut national du cancer (</w:t>
            </w:r>
            <w:proofErr w:type="spellStart"/>
            <w:r w:rsidRPr="00DA4183">
              <w:rPr>
                <w:rFonts w:ascii="Times New Roman" w:eastAsia="Times New Roman" w:hAnsi="Times New Roman" w:cs="Times New Roman"/>
                <w:b/>
                <w:bCs/>
                <w:kern w:val="0"/>
                <w:sz w:val="21"/>
                <w:szCs w:val="21"/>
                <w:lang w:eastAsia="fr-FR"/>
                <w14:ligatures w14:val="none"/>
              </w:rPr>
              <w:t>INCa</w:t>
            </w:r>
            <w:proofErr w:type="spellEnd"/>
            <w:r w:rsidRPr="00DA4183">
              <w:rPr>
                <w:rFonts w:ascii="Times New Roman" w:eastAsia="Times New Roman" w:hAnsi="Times New Roman" w:cs="Times New Roman"/>
                <w:b/>
                <w:bCs/>
                <w:kern w:val="0"/>
                <w:sz w:val="21"/>
                <w:szCs w:val="21"/>
                <w:lang w:eastAsia="fr-FR"/>
                <w14:ligatures w14:val="none"/>
              </w:rPr>
              <w:t>).</w:t>
            </w:r>
          </w:p>
        </w:tc>
      </w:tr>
      <w:tr w:rsidR="00DA4183" w:rsidRPr="00DA4183" w14:paraId="1880F1A9" w14:textId="77777777" w:rsidTr="00DA4183">
        <w:tc>
          <w:tcPr>
            <w:tcW w:w="2127"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BF3B61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Modifications du traitement de données</w:t>
            </w:r>
          </w:p>
        </w:tc>
        <w:tc>
          <w:tcPr>
            <w:tcW w:w="8221"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5F9C6B49"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modifications portent sur :</w:t>
            </w:r>
          </w:p>
          <w:p w14:paraId="0ECCC9CE"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finalités du traitement ;</w:t>
            </w:r>
          </w:p>
          <w:p w14:paraId="6166A818"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catégories de personnes concernées par le traitement ;</w:t>
            </w:r>
          </w:p>
          <w:p w14:paraId="3A4B8CC4"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bases de données existantes rassemblées au sein de la PDC (source des données) ;</w:t>
            </w:r>
          </w:p>
          <w:p w14:paraId="7F641231"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catégories de données traitées ;</w:t>
            </w:r>
          </w:p>
          <w:p w14:paraId="3D1ADD95"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catégories de destinataires ;</w:t>
            </w:r>
          </w:p>
          <w:p w14:paraId="4AB379AA"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modalités d’information des personnes ;</w:t>
            </w:r>
          </w:p>
          <w:p w14:paraId="624F551C" w14:textId="77777777" w:rsidR="00DA4183" w:rsidRPr="00DA4183" w:rsidRDefault="00DA4183" w:rsidP="00DA4183">
            <w:pPr>
              <w:numPr>
                <w:ilvl w:val="0"/>
                <w:numId w:val="3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mesures de sécurité.</w:t>
            </w:r>
          </w:p>
        </w:tc>
      </w:tr>
      <w:tr w:rsidR="00DA4183" w:rsidRPr="00DA4183" w14:paraId="08A34F89" w14:textId="77777777" w:rsidTr="00DA4183">
        <w:tc>
          <w:tcPr>
            <w:tcW w:w="2127"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5C395BF"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Points de non-conformité au référentiel concerné</w:t>
            </w:r>
          </w:p>
        </w:tc>
        <w:tc>
          <w:tcPr>
            <w:tcW w:w="8221"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5B548073"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prend acte de ce que le dossier de demande mentionne que le traitement envisagé est conforme aux dispositions du référentiel "entrepôt de données dans le domaine de la santé", à l’exception :</w:t>
            </w:r>
          </w:p>
          <w:p w14:paraId="53D0A13B"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 certaines finalités poursuivies ;</w:t>
            </w:r>
          </w:p>
          <w:p w14:paraId="05C62C07"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sources des données collectées ;</w:t>
            </w:r>
          </w:p>
          <w:p w14:paraId="1E93C8FC"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catégories de données concernées ;</w:t>
            </w:r>
          </w:p>
          <w:p w14:paraId="2692271E"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durées de conservation ;</w:t>
            </w:r>
          </w:p>
          <w:p w14:paraId="4FF36CE2"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modalités d’information des personnes ;</w:t>
            </w:r>
          </w:p>
          <w:p w14:paraId="48A502C7"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droits des personnes ;</w:t>
            </w:r>
          </w:p>
          <w:p w14:paraId="7D685C9D" w14:textId="77777777" w:rsidR="00DA4183" w:rsidRPr="00DA4183" w:rsidRDefault="00DA4183" w:rsidP="00DA4183">
            <w:pPr>
              <w:numPr>
                <w:ilvl w:val="0"/>
                <w:numId w:val="3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mesures de sécurité.</w:t>
            </w:r>
          </w:p>
          <w:p w14:paraId="27B5E873"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En dehors de ces exceptions, le traitement devra respecter le cadre prévu par le référentiel "entrepôt de données dans le domaine de la santé".</w:t>
            </w:r>
          </w:p>
        </w:tc>
      </w:tr>
      <w:tr w:rsidR="00DA4183" w:rsidRPr="00DA4183" w14:paraId="26E023E7" w14:textId="77777777" w:rsidTr="00DA4183">
        <w:tc>
          <w:tcPr>
            <w:tcW w:w="2127"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C2EE061"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Sur la finalité et la base légale du traitement</w:t>
            </w:r>
          </w:p>
        </w:tc>
        <w:tc>
          <w:tcPr>
            <w:tcW w:w="8221"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2D62F07C"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modifications envisagées ont vocation à étendre les finalités poursuivies par la Plateforme de cancérologie (PDC). Outre les finalités mentionnées dans la délibération n° 2019-082, le traitement permettra à l’INCa de :</w:t>
            </w:r>
          </w:p>
          <w:p w14:paraId="47B099A4" w14:textId="77777777" w:rsidR="00DA4183" w:rsidRPr="00DA4183" w:rsidRDefault="00DA4183" w:rsidP="00DA4183">
            <w:pPr>
              <w:numPr>
                <w:ilvl w:val="0"/>
                <w:numId w:val="3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définir et suivre </w:t>
            </w:r>
            <w:proofErr w:type="gramStart"/>
            <w:r w:rsidRPr="00DA4183">
              <w:rPr>
                <w:rFonts w:ascii="Times New Roman" w:eastAsia="Times New Roman" w:hAnsi="Times New Roman" w:cs="Times New Roman"/>
                <w:b/>
                <w:bCs/>
                <w:kern w:val="0"/>
                <w:sz w:val="21"/>
                <w:szCs w:val="21"/>
                <w:lang w:eastAsia="fr-FR"/>
                <w14:ligatures w14:val="none"/>
              </w:rPr>
              <w:t>le</w:t>
            </w:r>
            <w:proofErr w:type="gramEnd"/>
            <w:r w:rsidRPr="00DA4183">
              <w:rPr>
                <w:rFonts w:ascii="Times New Roman" w:eastAsia="Times New Roman" w:hAnsi="Times New Roman" w:cs="Times New Roman"/>
                <w:b/>
                <w:bCs/>
                <w:kern w:val="0"/>
                <w:sz w:val="21"/>
                <w:szCs w:val="21"/>
                <w:lang w:eastAsia="fr-FR"/>
                <w14:ligatures w14:val="none"/>
              </w:rPr>
              <w:t xml:space="preserve"> stratégie décennale de lutte contre les cancers ;</w:t>
            </w:r>
          </w:p>
          <w:p w14:paraId="5D030530" w14:textId="77777777" w:rsidR="00DA4183" w:rsidRPr="00DA4183" w:rsidRDefault="00DA4183" w:rsidP="00DA4183">
            <w:pPr>
              <w:numPr>
                <w:ilvl w:val="0"/>
                <w:numId w:val="3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réaliser des statistiques publiques en lien avec cette stratégie ;</w:t>
            </w:r>
          </w:p>
          <w:p w14:paraId="57EAEFC2" w14:textId="77777777" w:rsidR="00DA4183" w:rsidRPr="00DA4183" w:rsidRDefault="00DA4183" w:rsidP="00DA4183">
            <w:pPr>
              <w:numPr>
                <w:ilvl w:val="0"/>
                <w:numId w:val="3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réaliser des expertises à la demande des ministères, de la Cour des comptes et du Parlement sur les questions relatives à la cancérologie ;</w:t>
            </w:r>
          </w:p>
          <w:p w14:paraId="6AFCBFD6" w14:textId="77777777" w:rsidR="00DA4183" w:rsidRPr="00DA4183" w:rsidRDefault="00DA4183" w:rsidP="00DA4183">
            <w:pPr>
              <w:numPr>
                <w:ilvl w:val="0"/>
                <w:numId w:val="3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mettre à disposition les données de la PDC à des tiers pour la réalisation de recherches, études ou évaluations dans le domaine de la cancérologie et pour répondre à la stratégie nationale des filières "industries et technologies de santé".</w:t>
            </w:r>
          </w:p>
          <w:p w14:paraId="7D58773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finalités du traitement sont déterminées, explicites et légitimes, conformément aux dispositions de l’article 5.1.b du RGPD.</w:t>
            </w:r>
          </w:p>
          <w:p w14:paraId="45E175C8"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prend acte de ce que l’INCa s’engage à :</w:t>
            </w:r>
          </w:p>
          <w:p w14:paraId="7570518B" w14:textId="77777777" w:rsidR="00DA4183" w:rsidRPr="00DA4183" w:rsidRDefault="00DA4183" w:rsidP="00DA4183">
            <w:pPr>
              <w:numPr>
                <w:ilvl w:val="0"/>
                <w:numId w:val="37"/>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ne pas traiter ou mettre à disposition les données de l’entrepôt à des fins de promotion des produits de santé en direction des professionnels de santé ou d’établissements de santé, ou à des fins d’exclusion de garanties des contrats d’assurance et de modification de cotisations ou primes d’assurance d'un individu ou d'un groupe d'individus présentant un même risque ;</w:t>
            </w:r>
          </w:p>
          <w:p w14:paraId="70F5442B" w14:textId="77777777" w:rsidR="00DA4183" w:rsidRPr="00DA4183" w:rsidRDefault="00DA4183" w:rsidP="00DA4183">
            <w:pPr>
              <w:numPr>
                <w:ilvl w:val="0"/>
                <w:numId w:val="37"/>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ne pas permettre la réutilisation des données de la PDC dans le cadre de recherche impliquant la personne humaine telles que définies aux articles L. 1121-1 à L. 1128-12 du code de la santé publique (CSP) ;</w:t>
            </w:r>
          </w:p>
          <w:p w14:paraId="0C451D6F" w14:textId="77777777" w:rsidR="00DA4183" w:rsidRPr="00DA4183" w:rsidRDefault="00DA4183" w:rsidP="00DA4183">
            <w:pPr>
              <w:numPr>
                <w:ilvl w:val="0"/>
                <w:numId w:val="37"/>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publier les résultats des études conduites à partir de la PDC.</w:t>
            </w:r>
          </w:p>
          <w:p w14:paraId="5286EFE2"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estime qu’il y a lieu de faire application des dispositions de l’article 44-3° et 66-III de la loi n° 78-17 du 6 janvier 1978 modifiée relative à l’informatique, aux fichiers et aux libertés (ci-après loi "informatique et libertés" modifiée), qui soumettent à son autorisation les traitements comportant des données relatives à la santé et justifiés, comme en l’espèce, par l’intérêt public.</w:t>
            </w:r>
          </w:p>
          <w:p w14:paraId="1DAD92A9"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utilisations futures des données contenues dans cet entrepôt s’inscriront dans le cadre des dispositions des articles 66 et 72 et suivants de la loi "informatique et libertés" modifiée, qui imposent que chaque traitement soit justifié par l’intérêt public et fasse l’objet de formalités propres.</w:t>
            </w:r>
          </w:p>
        </w:tc>
      </w:tr>
      <w:tr w:rsidR="00DA4183" w:rsidRPr="00DA4183" w14:paraId="1F27D576" w14:textId="77777777" w:rsidTr="00DA4183">
        <w:tc>
          <w:tcPr>
            <w:tcW w:w="2127"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FCE2BD5"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Sur la base légale du traitement</w:t>
            </w:r>
          </w:p>
        </w:tc>
        <w:tc>
          <w:tcPr>
            <w:tcW w:w="8221"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3747F32"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 traitement a pour base légale l’exécution d’une mission d’intérêt public dont est investi le responsable de traitement, au sens de l’article 6.1.e du RGPD.</w:t>
            </w:r>
          </w:p>
          <w:p w14:paraId="47405B88"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 traitement de données sensibles est nécessaire :</w:t>
            </w:r>
          </w:p>
          <w:p w14:paraId="0B045D5B" w14:textId="77777777" w:rsidR="00DA4183" w:rsidRPr="00DA4183" w:rsidRDefault="00DA4183" w:rsidP="00DA4183">
            <w:pPr>
              <w:numPr>
                <w:ilvl w:val="0"/>
                <w:numId w:val="38"/>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aux fins de recherche scientifique, s’agissant notamment de la mise à disposition des données de la PDC à des tiers pour la réalisation de recherches, études ou évaluations dans le domaine de la cancérologie (art. 9.2</w:t>
            </w:r>
            <w:proofErr w:type="gramStart"/>
            <w:r w:rsidRPr="00DA4183">
              <w:rPr>
                <w:rFonts w:ascii="Times New Roman" w:eastAsia="Times New Roman" w:hAnsi="Times New Roman" w:cs="Times New Roman"/>
                <w:b/>
                <w:bCs/>
                <w:kern w:val="0"/>
                <w:sz w:val="21"/>
                <w:szCs w:val="21"/>
                <w:lang w:eastAsia="fr-FR"/>
                <w14:ligatures w14:val="none"/>
              </w:rPr>
              <w:t>.j</w:t>
            </w:r>
            <w:proofErr w:type="gramEnd"/>
            <w:r w:rsidRPr="00DA4183">
              <w:rPr>
                <w:rFonts w:ascii="Times New Roman" w:eastAsia="Times New Roman" w:hAnsi="Times New Roman" w:cs="Times New Roman"/>
                <w:b/>
                <w:bCs/>
                <w:kern w:val="0"/>
                <w:sz w:val="21"/>
                <w:szCs w:val="21"/>
                <w:lang w:eastAsia="fr-FR"/>
                <w14:ligatures w14:val="none"/>
              </w:rPr>
              <w:t xml:space="preserve"> du RGPD) ;</w:t>
            </w:r>
          </w:p>
          <w:p w14:paraId="417E2395" w14:textId="77777777" w:rsidR="00DA4183" w:rsidRPr="00DA4183" w:rsidRDefault="00DA4183" w:rsidP="00DA4183">
            <w:pPr>
              <w:numPr>
                <w:ilvl w:val="0"/>
                <w:numId w:val="38"/>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pour un motif d’intérêt public important pour les autres objectifs poursuivis par la PDC, sous réserve que les traitements ultérieurs soient réalisés sous la responsabilité de l’INCa (art. 9.2</w:t>
            </w:r>
            <w:proofErr w:type="gramStart"/>
            <w:r w:rsidRPr="00DA4183">
              <w:rPr>
                <w:rFonts w:ascii="Times New Roman" w:eastAsia="Times New Roman" w:hAnsi="Times New Roman" w:cs="Times New Roman"/>
                <w:b/>
                <w:bCs/>
                <w:kern w:val="0"/>
                <w:sz w:val="21"/>
                <w:szCs w:val="21"/>
                <w:lang w:eastAsia="fr-FR"/>
                <w14:ligatures w14:val="none"/>
              </w:rPr>
              <w:t>.i</w:t>
            </w:r>
            <w:proofErr w:type="gramEnd"/>
            <w:r w:rsidRPr="00DA4183">
              <w:rPr>
                <w:rFonts w:ascii="Times New Roman" w:eastAsia="Times New Roman" w:hAnsi="Times New Roman" w:cs="Times New Roman"/>
                <w:b/>
                <w:bCs/>
                <w:kern w:val="0"/>
                <w:sz w:val="21"/>
                <w:szCs w:val="21"/>
                <w:lang w:eastAsia="fr-FR"/>
                <w14:ligatures w14:val="none"/>
              </w:rPr>
              <w:t xml:space="preserve"> du RGPD).</w:t>
            </w:r>
          </w:p>
        </w:tc>
      </w:tr>
      <w:tr w:rsidR="00DA4183" w:rsidRPr="00DA4183" w14:paraId="6FA3528F" w14:textId="77777777" w:rsidTr="00DA4183">
        <w:tc>
          <w:tcPr>
            <w:tcW w:w="2127"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634CA89"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Sur les données traitées</w:t>
            </w:r>
          </w:p>
        </w:tc>
        <w:tc>
          <w:tcPr>
            <w:tcW w:w="8221"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24ACC3A"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L’entrepôt regroupera les données issues :</w:t>
            </w:r>
          </w:p>
          <w:p w14:paraId="4A899A79"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composantes de la base principale du système national des données de santé (SNDS), dans la limite de l’accès permanent dont dispose l’INCa en application des articles R. 1461-11 et suivants du CSP et sous réserve de leur disponibilité ;</w:t>
            </w:r>
          </w:p>
          <w:p w14:paraId="1BF7DFC9"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registres des cancers ;</w:t>
            </w:r>
          </w:p>
          <w:p w14:paraId="0F50F4F8"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d’études pour lesquelles l’INCa est responsable ou responsable conjoint de traitement ;</w:t>
            </w:r>
          </w:p>
          <w:p w14:paraId="2FD2847E"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des résumés de passage aux urgences (base </w:t>
            </w:r>
            <w:proofErr w:type="spellStart"/>
            <w:r w:rsidRPr="00DA4183">
              <w:rPr>
                <w:rFonts w:ascii="Times New Roman" w:eastAsia="Times New Roman" w:hAnsi="Times New Roman" w:cs="Times New Roman"/>
                <w:b/>
                <w:bCs/>
                <w:kern w:val="0"/>
                <w:sz w:val="21"/>
                <w:szCs w:val="21"/>
                <w:lang w:eastAsia="fr-FR"/>
                <w14:ligatures w14:val="none"/>
              </w:rPr>
              <w:t>Oscour</w:t>
            </w:r>
            <w:proofErr w:type="spellEnd"/>
            <w:r w:rsidRPr="00DA4183">
              <w:rPr>
                <w:rFonts w:ascii="Times New Roman" w:eastAsia="Times New Roman" w:hAnsi="Times New Roman" w:cs="Times New Roman"/>
                <w:b/>
                <w:bCs/>
                <w:kern w:val="0"/>
                <w:sz w:val="21"/>
                <w:szCs w:val="21"/>
                <w:lang w:eastAsia="fr-FR"/>
                <w14:ligatures w14:val="none"/>
              </w:rPr>
              <w:t>) ;</w:t>
            </w:r>
          </w:p>
          <w:p w14:paraId="3A31AAAB"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 recherches, études ou évaluations réalisées par les industriels de santé dans le cadre du projet de la filière intelligence artificielle et cancer ;</w:t>
            </w:r>
          </w:p>
          <w:p w14:paraId="1E6D343F"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dossiers médicaux composant le dossier communicant de cancérologie ;</w:t>
            </w:r>
          </w:p>
          <w:p w14:paraId="5E7A0B5C" w14:textId="77777777" w:rsidR="00DA4183" w:rsidRPr="00DA4183" w:rsidRDefault="00DA4183" w:rsidP="00DA4183">
            <w:pPr>
              <w:numPr>
                <w:ilvl w:val="0"/>
                <w:numId w:val="39"/>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des centres régionaux de coordination des dépistages des cancers.</w:t>
            </w:r>
          </w:p>
          <w:p w14:paraId="0B12A44A"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profondeur historique des données traitées sera de dix-neuf ans, en plus de l’année en cours.</w:t>
            </w:r>
          </w:p>
          <w:p w14:paraId="65355285"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i/>
                <w:iCs/>
                <w:kern w:val="0"/>
                <w:sz w:val="21"/>
                <w:szCs w:val="21"/>
                <w:lang w:eastAsia="fr-FR"/>
                <w14:ligatures w14:val="none"/>
              </w:rPr>
              <w:t>Les données relatives aux patients :</w:t>
            </w:r>
          </w:p>
          <w:p w14:paraId="49AB9587"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Seules les données des personnes étant ou ayant été atteintes d’un cancer, des personnes rentrant dans un dispositif de prévention, de dépistage ou des personnes suspectées d’être atteintes d’un cancer seront rassemblées au sein de la PDC. Les personnes suspectées d’être atteintes d’un cancer sont des personnes présentant des risques élevés, soit en raison d’un test de dépistage positif soit parce qu’elles présentent une prédisposition génétique.</w:t>
            </w:r>
          </w:p>
          <w:p w14:paraId="56943462"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suivantes seront traitées dans la PDC :</w:t>
            </w:r>
          </w:p>
          <w:p w14:paraId="0EAA735D" w14:textId="77777777" w:rsidR="00DA4183" w:rsidRPr="00DA4183" w:rsidRDefault="00DA4183" w:rsidP="00DA4183">
            <w:pPr>
              <w:numPr>
                <w:ilvl w:val="0"/>
                <w:numId w:val="40"/>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données d’identification : prénom, nom, coordonnées (téléphoniques, électroniques, postales), numéro d’identifiant permanent du patient (IPP), numéro d’identifiant de l’épisode de soin (IEP), identifiant national de santé (INS), date de naissance complète, sexe et genre ;</w:t>
            </w:r>
          </w:p>
          <w:p w14:paraId="3C186F82" w14:textId="77777777" w:rsidR="00DA4183" w:rsidRPr="00DA4183" w:rsidRDefault="00DA4183" w:rsidP="00DA4183">
            <w:pPr>
              <w:numPr>
                <w:ilvl w:val="0"/>
                <w:numId w:val="40"/>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données de santé : informations médicales, médicosociales et médico-économiques relatives au parcours de santé, informations médico-sociales relatives à la situation des personnes en situation de handicap, informations relatives aux arrêts de travail et aux prestations en espèce, informations relatives au statut vital et aux causes de décès ;</w:t>
            </w:r>
          </w:p>
          <w:p w14:paraId="107A94F6" w14:textId="77777777" w:rsidR="00DA4183" w:rsidRPr="00DA4183" w:rsidRDefault="00DA4183" w:rsidP="00DA4183">
            <w:pPr>
              <w:numPr>
                <w:ilvl w:val="0"/>
                <w:numId w:val="40"/>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données relatives à la vie personnelle : informations relatives au lieu de vie, aux habitudes de vie, à la vie professionnelle, à la </w:t>
            </w:r>
            <w:proofErr w:type="spellStart"/>
            <w:r w:rsidRPr="00DA4183">
              <w:rPr>
                <w:rFonts w:ascii="Times New Roman" w:eastAsia="Times New Roman" w:hAnsi="Times New Roman" w:cs="Times New Roman"/>
                <w:b/>
                <w:bCs/>
                <w:kern w:val="0"/>
                <w:sz w:val="21"/>
                <w:szCs w:val="21"/>
                <w:lang w:eastAsia="fr-FR"/>
                <w14:ligatures w14:val="none"/>
              </w:rPr>
              <w:t>défavorisation</w:t>
            </w:r>
            <w:proofErr w:type="spellEnd"/>
            <w:r w:rsidRPr="00DA4183">
              <w:rPr>
                <w:rFonts w:ascii="Times New Roman" w:eastAsia="Times New Roman" w:hAnsi="Times New Roman" w:cs="Times New Roman"/>
                <w:b/>
                <w:bCs/>
                <w:kern w:val="0"/>
                <w:sz w:val="21"/>
                <w:szCs w:val="21"/>
                <w:lang w:eastAsia="fr-FR"/>
                <w14:ligatures w14:val="none"/>
              </w:rPr>
              <w:t xml:space="preserve"> sociale ;</w:t>
            </w:r>
          </w:p>
          <w:p w14:paraId="49B166D3" w14:textId="77777777" w:rsidR="00DA4183" w:rsidRPr="00DA4183" w:rsidRDefault="00DA4183" w:rsidP="00DA4183">
            <w:pPr>
              <w:numPr>
                <w:ilvl w:val="0"/>
                <w:numId w:val="40"/>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données relatives aux organismes d’assurance maladie obligatoire et aux organismes d’assurance maladie complémentaire, limitées à celles contenues dans la base principale du SNDS.</w:t>
            </w:r>
          </w:p>
          <w:p w14:paraId="35C2951A"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d’identification (prénom, nom, IEP, EPP, INS), les coordonnées (postales, électroniques, téléphoniques) et la date de naissance complète proviendront exclusivement des dossiers médicaux composant le dossier communicant en cancérologie. Les données d’identification et les coordonnées des personnes seront supprimées dès la pseudonymisation à bref délai effectuée dans la PDC.</w:t>
            </w:r>
          </w:p>
          <w:p w14:paraId="04DEE83B"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prend acte de ce que l’INS fera l’objet d’une opération de pseudonymisation à bref délai dès le versement des données des dossiers communicant en cancérologie dans la PDC.</w:t>
            </w:r>
          </w:p>
          <w:p w14:paraId="767FD47B"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i/>
                <w:iCs/>
                <w:kern w:val="0"/>
                <w:sz w:val="21"/>
                <w:szCs w:val="21"/>
                <w:lang w:eastAsia="fr-FR"/>
                <w14:ligatures w14:val="none"/>
              </w:rPr>
              <w:t>Les données relatives aux professionnels de santé :</w:t>
            </w:r>
          </w:p>
          <w:p w14:paraId="2107639A" w14:textId="77777777" w:rsidR="00DA4183" w:rsidRPr="00DA4183" w:rsidRDefault="00DA4183" w:rsidP="00DA4183">
            <w:pPr>
              <w:numPr>
                <w:ilvl w:val="0"/>
                <w:numId w:val="41"/>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données d’identification : nom, prénoms, numéro ADELI, numéro du répertoire partagé des professionnels de santé (RPPS) ;</w:t>
            </w:r>
          </w:p>
          <w:p w14:paraId="3384DA98" w14:textId="77777777" w:rsidR="00DA4183" w:rsidRPr="00DA4183" w:rsidRDefault="00DA4183" w:rsidP="00DA4183">
            <w:pPr>
              <w:numPr>
                <w:ilvl w:val="0"/>
                <w:numId w:val="41"/>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données relatives à la vie professionnelle : fonction, lieu et mode d’exercice.</w:t>
            </w:r>
          </w:p>
          <w:p w14:paraId="0AC2D649"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dont le traitement est envisagé sont adéquates, pertinentes et limitées à ce qui est nécessaire au regard des finalités du traitement, conformément aux dispositions de l’article 5.1.c du RGPD.</w:t>
            </w:r>
          </w:p>
        </w:tc>
      </w:tr>
      <w:tr w:rsidR="00DA4183" w:rsidRPr="00DA4183" w14:paraId="64106291" w14:textId="77777777" w:rsidTr="00DA4183">
        <w:tc>
          <w:tcPr>
            <w:tcW w:w="2127"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7A31FF3"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Sur les </w:t>
            </w:r>
            <w:proofErr w:type="spellStart"/>
            <w:r w:rsidRPr="00DA4183">
              <w:rPr>
                <w:rFonts w:ascii="Times New Roman" w:eastAsia="Times New Roman" w:hAnsi="Times New Roman" w:cs="Times New Roman"/>
                <w:b/>
                <w:bCs/>
                <w:kern w:val="0"/>
                <w:sz w:val="21"/>
                <w:szCs w:val="21"/>
                <w:lang w:eastAsia="fr-FR"/>
                <w14:ligatures w14:val="none"/>
              </w:rPr>
              <w:t>accédants</w:t>
            </w:r>
            <w:proofErr w:type="spellEnd"/>
            <w:r w:rsidRPr="00DA4183">
              <w:rPr>
                <w:rFonts w:ascii="Times New Roman" w:eastAsia="Times New Roman" w:hAnsi="Times New Roman" w:cs="Times New Roman"/>
                <w:b/>
                <w:bCs/>
                <w:kern w:val="0"/>
                <w:sz w:val="21"/>
                <w:szCs w:val="21"/>
                <w:lang w:eastAsia="fr-FR"/>
                <w14:ligatures w14:val="none"/>
              </w:rPr>
              <w:t xml:space="preserve"> et les destinataires</w:t>
            </w:r>
          </w:p>
        </w:tc>
        <w:tc>
          <w:tcPr>
            <w:tcW w:w="8221"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780D8B9C"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Seul le personnel désigné et habilité de l’INCa peut accéder aux données dans le cadre de la présente autorisation.</w:t>
            </w:r>
          </w:p>
          <w:p w14:paraId="3AB1D3D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Sont destinataires des données :</w:t>
            </w:r>
          </w:p>
          <w:p w14:paraId="53179B04" w14:textId="77777777" w:rsidR="00DA4183" w:rsidRPr="00DA4183" w:rsidRDefault="00DA4183" w:rsidP="00DA4183">
            <w:pPr>
              <w:numPr>
                <w:ilvl w:val="0"/>
                <w:numId w:val="42"/>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 personnel désigné et habilité des sous-traitants intervenant pour le compte de l’INCa ;</w:t>
            </w:r>
          </w:p>
          <w:p w14:paraId="4BA2DB18" w14:textId="77777777" w:rsidR="00DA4183" w:rsidRPr="00DA4183" w:rsidRDefault="00DA4183" w:rsidP="00DA4183">
            <w:pPr>
              <w:numPr>
                <w:ilvl w:val="0"/>
                <w:numId w:val="42"/>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 personnel des partenaires de l’INCa qui conduisent un projet de recherche, d’étude ou d’évaluation dans le domaine la cancérologie, sous réserve qu’un contrat de responsabilité conjointe, au sens de l’article 26 du RGPD, ou de sous-traitance, au sens de l’article 28 du RGPD, ait été conclu avec l’INCa.</w:t>
            </w:r>
          </w:p>
          <w:p w14:paraId="41BBFE1C"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prend acte de ce que les catégories de destinataires et d’</w:t>
            </w:r>
            <w:proofErr w:type="spellStart"/>
            <w:r w:rsidRPr="00DA4183">
              <w:rPr>
                <w:rFonts w:ascii="Times New Roman" w:eastAsia="Times New Roman" w:hAnsi="Times New Roman" w:cs="Times New Roman"/>
                <w:b/>
                <w:bCs/>
                <w:kern w:val="0"/>
                <w:sz w:val="21"/>
                <w:szCs w:val="21"/>
                <w:lang w:eastAsia="fr-FR"/>
                <w14:ligatures w14:val="none"/>
              </w:rPr>
              <w:t>accédants</w:t>
            </w:r>
            <w:proofErr w:type="spellEnd"/>
            <w:r w:rsidRPr="00DA4183">
              <w:rPr>
                <w:rFonts w:ascii="Times New Roman" w:eastAsia="Times New Roman" w:hAnsi="Times New Roman" w:cs="Times New Roman"/>
                <w:b/>
                <w:bCs/>
                <w:kern w:val="0"/>
                <w:sz w:val="21"/>
                <w:szCs w:val="21"/>
                <w:lang w:eastAsia="fr-FR"/>
                <w14:ligatures w14:val="none"/>
              </w:rPr>
              <w:t xml:space="preserve"> sont </w:t>
            </w:r>
            <w:proofErr w:type="gramStart"/>
            <w:r w:rsidRPr="00DA4183">
              <w:rPr>
                <w:rFonts w:ascii="Times New Roman" w:eastAsia="Times New Roman" w:hAnsi="Times New Roman" w:cs="Times New Roman"/>
                <w:b/>
                <w:bCs/>
                <w:kern w:val="0"/>
                <w:sz w:val="21"/>
                <w:szCs w:val="21"/>
                <w:lang w:eastAsia="fr-FR"/>
                <w14:ligatures w14:val="none"/>
              </w:rPr>
              <w:t>soumis</w:t>
            </w:r>
            <w:proofErr w:type="gramEnd"/>
            <w:r w:rsidRPr="00DA4183">
              <w:rPr>
                <w:rFonts w:ascii="Times New Roman" w:eastAsia="Times New Roman" w:hAnsi="Times New Roman" w:cs="Times New Roman"/>
                <w:b/>
                <w:bCs/>
                <w:kern w:val="0"/>
                <w:sz w:val="21"/>
                <w:szCs w:val="21"/>
                <w:lang w:eastAsia="fr-FR"/>
                <w14:ligatures w14:val="none"/>
              </w:rPr>
              <w:t xml:space="preserve"> au secret professionnel régi par les dispositions des articles 226-13 et 226-14 du code pénal.</w:t>
            </w:r>
          </w:p>
        </w:tc>
      </w:tr>
      <w:tr w:rsidR="00DA4183" w:rsidRPr="00DA4183" w14:paraId="3DC78EBA" w14:textId="77777777" w:rsidTr="00DA4183">
        <w:tc>
          <w:tcPr>
            <w:tcW w:w="2127"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3A2522E"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Information des personnes</w:t>
            </w:r>
          </w:p>
        </w:tc>
        <w:tc>
          <w:tcPr>
            <w:tcW w:w="8221"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537921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prend acte des engagements de l’INCa selon lesquels :</w:t>
            </w:r>
          </w:p>
          <w:p w14:paraId="1FEB6A79" w14:textId="77777777" w:rsidR="00DA4183" w:rsidRPr="00DA4183" w:rsidRDefault="00DA4183" w:rsidP="00DA4183">
            <w:pPr>
              <w:numPr>
                <w:ilvl w:val="0"/>
                <w:numId w:val="43"/>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une liste des bases de données existantes rassemblées au sein de la PDC sera publiée sur le site web de l’INCa. Cette liste devra être mise à jour régulièrement dès la conclusion ou la fin d’un contrat de mise à disposition de données afin de fournir une information transparente aux personnes concernant les bases de données rassemblées au sein de la PDC ;</w:t>
            </w:r>
          </w:p>
          <w:p w14:paraId="256064B2" w14:textId="77777777" w:rsidR="00DA4183" w:rsidRPr="00DA4183" w:rsidRDefault="00DA4183" w:rsidP="00DA4183">
            <w:pPr>
              <w:numPr>
                <w:ilvl w:val="0"/>
                <w:numId w:val="43"/>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un renvoi vers les supports d’information des responsables de traitement des bases de données rassemblées au sein de la PDC (fournisseurs de données) sera réalisé depuis le site web de l’INCa ;</w:t>
            </w:r>
          </w:p>
          <w:p w14:paraId="7E03D81A" w14:textId="77777777" w:rsidR="00DA4183" w:rsidRPr="00DA4183" w:rsidRDefault="00DA4183" w:rsidP="00DA4183">
            <w:pPr>
              <w:numPr>
                <w:ilvl w:val="0"/>
                <w:numId w:val="43"/>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une ligne téléphonique dédiée sera mise en œuvre par l’INCa pour informer les personnes concernant la PDC.</w:t>
            </w:r>
          </w:p>
          <w:p w14:paraId="74865CAC"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demande que :</w:t>
            </w:r>
          </w:p>
          <w:p w14:paraId="619E1CCE" w14:textId="77777777" w:rsidR="00DA4183" w:rsidRPr="00DA4183" w:rsidRDefault="00DA4183" w:rsidP="00DA4183">
            <w:pPr>
              <w:numPr>
                <w:ilvl w:val="0"/>
                <w:numId w:val="4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l’information relative à la mise en œuvre de la PDC soit accessible sur les sites web des responsables de traitement des bases de données rassemblées au sein de la plateforme ;</w:t>
            </w:r>
          </w:p>
          <w:p w14:paraId="09C40173" w14:textId="77777777" w:rsidR="00DA4183" w:rsidRPr="00DA4183" w:rsidRDefault="00DA4183" w:rsidP="00DA4183">
            <w:pPr>
              <w:numPr>
                <w:ilvl w:val="0"/>
                <w:numId w:val="4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un délai d’un mois soit respecté entre la délivrance de l’information aux personnes concernées ou leurs représentants légaux ou la mise à jour de la liste des bases de données diffusées sur le site web de l’INCa et le versement effectif des données dans la PDC ;</w:t>
            </w:r>
          </w:p>
          <w:p w14:paraId="3F7860DC" w14:textId="77777777" w:rsidR="00DA4183" w:rsidRPr="00DA4183" w:rsidRDefault="00DA4183" w:rsidP="00DA4183">
            <w:pPr>
              <w:numPr>
                <w:ilvl w:val="0"/>
                <w:numId w:val="44"/>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il lui soit communiqué tous les trois ans un rapport sur le fonctionnement de la PDC et sur les recherches réalisées à partir des données qu’il contient.</w:t>
            </w:r>
          </w:p>
          <w:p w14:paraId="0828A7B9"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rappelle qu’il appartient à l’INCa, en sa qualité de responsable de traitement de la PDC, de transmettre aux responsables de traitement des bases de données rassemblées au sein de la plateforme une note d’information à destination des patients, de leurs représentants légaux et des professionnels de santé conforme aux dispositions du RGPD et de s’assurer que cette information leur sera remise. Les supports d’information devront comporter l’ensemble des mentions prévues par l’article 14 du RGPD.</w:t>
            </w:r>
          </w:p>
          <w:p w14:paraId="1AB728D8"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rappelle également que, lorsque le responsable de traitement souhaite adopter une approche à plusieurs niveaux pour informer les personnes, la première modalité d’information devrait contenir, conformément aux lignes directrices sur la transparence au sens du RGPD du 29 novembre 2017 du groupe de travail "de l’Article 29" (G29), les informations relatives à la finalité du traitement, l’identité du responsable de traitement, une description des droits des personnes concernées, ainsi que toute information sur le traitement qui aurait une forte incidence sur la personne concernée. En l’espèce la Commission demande que l’ensemble des supports d’information indique que l’exercice des droits par les personnes, notamment leur droit d’opposition, n’aura pas de conséquence sur leur prise en charge médicale et mentionne un renvoi vers la page web dédiée à l’information relative à la PDC.</w:t>
            </w:r>
          </w:p>
          <w:p w14:paraId="7FA6A8A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Il est rappelé que l’information relative à la constitution et aux modifications de la PDC ne se substitue pas à :</w:t>
            </w:r>
          </w:p>
          <w:p w14:paraId="37A0113D" w14:textId="77777777" w:rsidR="00DA4183" w:rsidRPr="00DA4183" w:rsidRDefault="00DA4183" w:rsidP="00DA4183">
            <w:pPr>
              <w:numPr>
                <w:ilvl w:val="0"/>
                <w:numId w:val="4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l’information incombant aux fournisseurs de données au titre des traitements de données à caractère personnel qu’ils mettent en œuvre en leur qualité de responsable de traitement, notamment s’agissant du traitement relatif à la tenue et la gestion des dossiers médicaux, des traitements relatif à la constitution d’une base de données pseudonymisées en vue de leur réutilisation à des fins de recherche, d’étude ou d’évaluation et des traitements mis en œuvre à des fins de recherche, d’étude ou d’évaluation ;</w:t>
            </w:r>
          </w:p>
          <w:p w14:paraId="12C2289B" w14:textId="77777777" w:rsidR="00DA4183" w:rsidRPr="00DA4183" w:rsidRDefault="00DA4183" w:rsidP="00DA4183">
            <w:pPr>
              <w:numPr>
                <w:ilvl w:val="0"/>
                <w:numId w:val="45"/>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l’information incombant à tout responsable de traitement qui procède à la réutilisation des données à caractère personnel de la PDC notamment à des fins de recherche, d’étude ou d’évaluation.</w:t>
            </w:r>
          </w:p>
          <w:p w14:paraId="3D9C74D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L’article L. 1461-3 du CSP subordonne l’accès aux données du SNDS et de ses composantes à la communication à la Plateforme des données de santé (PDS) de plusieurs éléments par les responsables de traitement, avant et après les études. Les projets de recherche, d’étude ou d’évaluation réalisés à partir des données de la PDC devront être enregistrés au sein du répertoire public de la PDS. La Commission recommande que la PDC soit également inscrite au répertoire public de la PDS.</w:t>
            </w:r>
          </w:p>
          <w:p w14:paraId="363A136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S’agissant des personnes dont les données sont exclusivement issues du SNDS et des personnes déjà incluses dans la PDC dont le suivi médical n’est plus en cours :</w:t>
            </w:r>
          </w:p>
          <w:p w14:paraId="6D060C1C"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En application de l'article 69 de la loi "informatique et libertés" et de l’article 14.5.b du RGPD, l'obligation d'information individuelle de la personne concernée peut faire l'objet d'exceptions, notamment dans l'hypothèse où la fourniture d'une telle information se révélerait impossible, exigerait des efforts disproportionnés ou compromettrait gravement la réalisation des objectifs du traitement. En pareils cas, le responsable de traitement prend des mesures appropriées pour protéger les droits et libertés ainsi que les intérêts légitimes de la personne concernée, y compris en rendant les informations publiquement disponibles.</w:t>
            </w:r>
          </w:p>
          <w:p w14:paraId="1C0B7DE4"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En l'espèce, il est fait exception au principe d'information individuelle et des mesures appropriées seront mises en œuvre, notamment par :</w:t>
            </w:r>
          </w:p>
          <w:p w14:paraId="7FE96712" w14:textId="77777777" w:rsidR="00DA4183" w:rsidRPr="00DA4183" w:rsidRDefault="00DA4183" w:rsidP="00DA4183">
            <w:pPr>
              <w:numPr>
                <w:ilvl w:val="0"/>
                <w:numId w:val="4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diffusion sur le site web de l’INCa d’une note d’information relative à la PDC ;</w:t>
            </w:r>
          </w:p>
          <w:p w14:paraId="3824162D" w14:textId="77777777" w:rsidR="00DA4183" w:rsidRPr="00DA4183" w:rsidRDefault="00DA4183" w:rsidP="00DA4183">
            <w:pPr>
              <w:numPr>
                <w:ilvl w:val="0"/>
                <w:numId w:val="4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diffusion sur les pages des réseaux sociaux de l’INCa d’une note d’information relative à la PDC ;</w:t>
            </w:r>
          </w:p>
          <w:p w14:paraId="5B7380E8" w14:textId="77777777" w:rsidR="00DA4183" w:rsidRPr="00DA4183" w:rsidRDefault="00DA4183" w:rsidP="00DA4183">
            <w:pPr>
              <w:numPr>
                <w:ilvl w:val="0"/>
                <w:numId w:val="4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l’insertion dans les guides pratiques "guides patients", disponibles sur le site web de l’INCa, d’une note d’information dédiée à la PDC ;</w:t>
            </w:r>
          </w:p>
          <w:p w14:paraId="792525D6" w14:textId="77777777" w:rsidR="00DA4183" w:rsidRPr="00DA4183" w:rsidRDefault="00DA4183" w:rsidP="00DA4183">
            <w:pPr>
              <w:numPr>
                <w:ilvl w:val="0"/>
                <w:numId w:val="46"/>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diffusion via les lettres d’informations (newsletter) des associations de patients ou l’affichage au sein de ces associations d’une note d’information dédiée à la PDC.</w:t>
            </w:r>
          </w:p>
          <w:p w14:paraId="21296F9D"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S’agissant des personnes dont les données sont issues des centres régionaux de coordination des dépistages des cancers :</w:t>
            </w:r>
          </w:p>
          <w:p w14:paraId="4DABB107"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Ces personnes recevront un premier niveau d’information renvoyant au site web de la PDC, intégré au courrier d’invitation au dépistage organisé du cancer du sein, du cancer colorectal et du cancer du col de l’utérus.</w:t>
            </w:r>
          </w:p>
          <w:p w14:paraId="4EB32EF6"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S’agissant des personnes dont les données sont issues d’un registre des cancers :</w:t>
            </w:r>
          </w:p>
          <w:p w14:paraId="4B1D6FE7"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Ces personnes recevront un premier niveau d’information renvoyant au site web de la PDC, intégré à la note d’information relative au registre du cancer concerné.</w:t>
            </w:r>
          </w:p>
          <w:p w14:paraId="435AD745"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S’agissant des personnes dont les données sont issues du dossier communicant en cancérologie :</w:t>
            </w:r>
          </w:p>
          <w:p w14:paraId="0F01508E"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Ces personnes recevront un premier niveau d’information renvoyant au site web de la PDC, qui sera intégré :</w:t>
            </w:r>
          </w:p>
          <w:p w14:paraId="407C0CEF" w14:textId="77777777" w:rsidR="00DA4183" w:rsidRPr="00DA4183" w:rsidRDefault="00DA4183" w:rsidP="00DA4183">
            <w:pPr>
              <w:numPr>
                <w:ilvl w:val="0"/>
                <w:numId w:val="47"/>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au livret d’accueil mentionné à l’article L. 1112-2 du CSP ;</w:t>
            </w:r>
          </w:p>
          <w:p w14:paraId="72091340" w14:textId="77777777" w:rsidR="00DA4183" w:rsidRPr="00DA4183" w:rsidRDefault="00DA4183" w:rsidP="00DA4183">
            <w:pPr>
              <w:numPr>
                <w:ilvl w:val="0"/>
                <w:numId w:val="47"/>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aux documents remis à la personne lors de l’annonce d’un diagnostic ("mallette patient").</w:t>
            </w:r>
          </w:p>
          <w:p w14:paraId="613463B4"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rappelle que chacun de ces premiers niveaux d’information devra comporter les informations mentionnées par le G29 dans ses lignes directrices sur la transparence.</w:t>
            </w:r>
          </w:p>
          <w:p w14:paraId="31E1C822"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Sous les réserves susmentionnées, ces modalités sont conformes au principe de transparence et aux exigences d’information prévues par les articles 12 et suivants du RGPD.</w:t>
            </w:r>
          </w:p>
        </w:tc>
      </w:tr>
      <w:tr w:rsidR="00DA4183" w:rsidRPr="00DA4183" w14:paraId="1D91B3AF" w14:textId="77777777" w:rsidTr="00DA4183">
        <w:tc>
          <w:tcPr>
            <w:tcW w:w="2127"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BBB4F43"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Droits des personnes</w:t>
            </w:r>
          </w:p>
        </w:tc>
        <w:tc>
          <w:tcPr>
            <w:tcW w:w="8221"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4BDC8113"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relève que, les finalités poursuivies par la PDC ne nécessitant pas le traitement de données directement identifiantes, les données de la PDC seront pseudonymisées par les responsables de traitements des bases de données rassemblées au sein de la PDC ou, s’agissant des données issues des dossiers médicaux composant le dossier communicant en cancérologie, dès leur versement.</w:t>
            </w:r>
          </w:p>
          <w:p w14:paraId="65509788"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personnes pourront exercer leurs droits (accès, rectification, opposition ou effacement) en contactant directement les responsables de traitement des organismes à l’origine de la collecte des données concernées. L’INCa s’est engagé à faciliter l’exercice de ces droits en renvoyant vers ces différentes structures. Les personnes pourront contacter l’INCa par voie électronique ou postale.</w:t>
            </w:r>
          </w:p>
          <w:p w14:paraId="5FD2303E"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rappelle que si les personnes concernées fournissent des informations complémentaires permettant leur ré-identification, l’exercice de leurs droits devra être rendu possible directement auprès de l’INCa, conformément à l’article 11 du RGPD.</w:t>
            </w:r>
          </w:p>
        </w:tc>
      </w:tr>
      <w:tr w:rsidR="00DA4183" w:rsidRPr="00DA4183" w14:paraId="298184B8" w14:textId="77777777" w:rsidTr="00DA4183">
        <w:tc>
          <w:tcPr>
            <w:tcW w:w="2127"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9A70F65"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Mesures de sécurité</w:t>
            </w:r>
          </w:p>
        </w:tc>
        <w:tc>
          <w:tcPr>
            <w:tcW w:w="8221"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19069931"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 responsable de traitement a réalisé et transmis à l’appui de la demande d’autorisation une analyse d’impact relative à la protection des données spécifique à la PDC. Une homologation de cet entrepôt a également été réalisée par l’autorité d’homologation le 5 octobre 2022 conformément à l’arrêté du 22 mars 2017 relatif au référentiel de sécurité applicable au SNDS, pour une durée d’un an, sous réserve de la mise en œuvre du plan d’action qu’elle a défini. Cette décision d’homologation n’est valable que jusqu’au 5 octobre 2023 et devra donc être renouvelée avant cette date.</w:t>
            </w:r>
          </w:p>
          <w:p w14:paraId="2D2FBE4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mesures de sécurité planifiées ou mises en place dans la PDC ont été comparées avec les exigences de sécurité mentionnées dans le référentiel "entrepôt de données dans le domaine de la santé" par le responsable de traitement. Des écarts avec les exigences de sécurité de ce référentiel ont été relevés concernant :</w:t>
            </w:r>
          </w:p>
          <w:p w14:paraId="1BA261BD" w14:textId="77777777" w:rsidR="00DA4183" w:rsidRPr="00DA4183" w:rsidRDefault="00DA4183" w:rsidP="00DA4183">
            <w:pPr>
              <w:numPr>
                <w:ilvl w:val="0"/>
                <w:numId w:val="48"/>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pseudonymisation des données de santé ;</w:t>
            </w:r>
          </w:p>
          <w:p w14:paraId="3F8C43E3" w14:textId="77777777" w:rsidR="00DA4183" w:rsidRPr="00DA4183" w:rsidRDefault="00DA4183" w:rsidP="00DA4183">
            <w:pPr>
              <w:numPr>
                <w:ilvl w:val="0"/>
                <w:numId w:val="48"/>
              </w:numPr>
              <w:spacing w:before="100" w:beforeAutospacing="1" w:after="100" w:afterAutospacing="1"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les identifiants patient </w:t>
            </w:r>
            <w:proofErr w:type="spellStart"/>
            <w:r w:rsidRPr="00DA4183">
              <w:rPr>
                <w:rFonts w:ascii="Times New Roman" w:eastAsia="Times New Roman" w:hAnsi="Times New Roman" w:cs="Times New Roman"/>
                <w:b/>
                <w:bCs/>
                <w:kern w:val="0"/>
                <w:sz w:val="21"/>
                <w:szCs w:val="21"/>
                <w:lang w:eastAsia="fr-FR"/>
                <w14:ligatures w14:val="none"/>
              </w:rPr>
              <w:t>pseudonymisés</w:t>
            </w:r>
            <w:proofErr w:type="spellEnd"/>
            <w:r w:rsidRPr="00DA4183">
              <w:rPr>
                <w:rFonts w:ascii="Times New Roman" w:eastAsia="Times New Roman" w:hAnsi="Times New Roman" w:cs="Times New Roman"/>
                <w:b/>
                <w:bCs/>
                <w:kern w:val="0"/>
                <w:sz w:val="21"/>
                <w:szCs w:val="21"/>
                <w:lang w:eastAsia="fr-FR"/>
                <w14:ligatures w14:val="none"/>
              </w:rPr>
              <w:t xml:space="preserve"> qui pourront être fournis par la CNAM pour les données relatives au SNDS ou générés par la PDC.</w:t>
            </w:r>
          </w:p>
          <w:p w14:paraId="03152619"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Au regard de la volumétrie et de la sensibilité des données traitées, la pseudonymisation des données de santé devra s’effectuer au sein de la PDC dans un environnement d’intégration comprenant des mesures de sécurité techniques et organisationnelles renforcées, notamment afin de garantir un cloisonnement réseau, cryptographique et système spécifique à l’environnement d’intégration, par rapport au reste de l’entrepôt de données de santé. Cette pseudonymisation devra s’effectuer à bref délai et les données directement identifiantes et les coordonnées devront être supprimées dès la pseudonymisation des données et des documents réalisée.</w:t>
            </w:r>
          </w:p>
          <w:p w14:paraId="5D633D42"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La Commission rappelle que les différents identifiants </w:t>
            </w:r>
            <w:proofErr w:type="spellStart"/>
            <w:r w:rsidRPr="00DA4183">
              <w:rPr>
                <w:rFonts w:ascii="Times New Roman" w:eastAsia="Times New Roman" w:hAnsi="Times New Roman" w:cs="Times New Roman"/>
                <w:b/>
                <w:bCs/>
                <w:kern w:val="0"/>
                <w:sz w:val="21"/>
                <w:szCs w:val="21"/>
                <w:lang w:eastAsia="fr-FR"/>
                <w14:ligatures w14:val="none"/>
              </w:rPr>
              <w:t>pseudonymisés</w:t>
            </w:r>
            <w:proofErr w:type="spellEnd"/>
            <w:r w:rsidRPr="00DA4183">
              <w:rPr>
                <w:rFonts w:ascii="Times New Roman" w:eastAsia="Times New Roman" w:hAnsi="Times New Roman" w:cs="Times New Roman"/>
                <w:b/>
                <w:bCs/>
                <w:kern w:val="0"/>
                <w:sz w:val="21"/>
                <w:szCs w:val="21"/>
                <w:lang w:eastAsia="fr-FR"/>
                <w14:ligatures w14:val="none"/>
              </w:rPr>
              <w:t xml:space="preserve"> relatifs à chacune des différentes bases hébergées, l’identifiant </w:t>
            </w:r>
            <w:proofErr w:type="spellStart"/>
            <w:r w:rsidRPr="00DA4183">
              <w:rPr>
                <w:rFonts w:ascii="Times New Roman" w:eastAsia="Times New Roman" w:hAnsi="Times New Roman" w:cs="Times New Roman"/>
                <w:b/>
                <w:bCs/>
                <w:kern w:val="0"/>
                <w:sz w:val="21"/>
                <w:szCs w:val="21"/>
                <w:lang w:eastAsia="fr-FR"/>
                <w14:ligatures w14:val="none"/>
              </w:rPr>
              <w:t>pseudonymisé</w:t>
            </w:r>
            <w:proofErr w:type="spellEnd"/>
            <w:r w:rsidRPr="00DA4183">
              <w:rPr>
                <w:rFonts w:ascii="Times New Roman" w:eastAsia="Times New Roman" w:hAnsi="Times New Roman" w:cs="Times New Roman"/>
                <w:b/>
                <w:bCs/>
                <w:kern w:val="0"/>
                <w:sz w:val="21"/>
                <w:szCs w:val="21"/>
                <w:lang w:eastAsia="fr-FR"/>
                <w14:ligatures w14:val="none"/>
              </w:rPr>
              <w:t xml:space="preserve"> dérivé de l’INS, ainsi que l’identifiant principal, devront être générés conformément aux exigences du référentiel précité par une fonction de hachage cryptographique résistante aux attaques par force brute ou un générateur de nombres pseudo-aléatoires </w:t>
            </w:r>
            <w:proofErr w:type="spellStart"/>
            <w:r w:rsidRPr="00DA4183">
              <w:rPr>
                <w:rFonts w:ascii="Times New Roman" w:eastAsia="Times New Roman" w:hAnsi="Times New Roman" w:cs="Times New Roman"/>
                <w:b/>
                <w:bCs/>
                <w:kern w:val="0"/>
                <w:sz w:val="21"/>
                <w:szCs w:val="21"/>
                <w:lang w:eastAsia="fr-FR"/>
                <w14:ligatures w14:val="none"/>
              </w:rPr>
              <w:t>cryptographiquement</w:t>
            </w:r>
            <w:proofErr w:type="spellEnd"/>
            <w:r w:rsidRPr="00DA4183">
              <w:rPr>
                <w:rFonts w:ascii="Times New Roman" w:eastAsia="Times New Roman" w:hAnsi="Times New Roman" w:cs="Times New Roman"/>
                <w:b/>
                <w:bCs/>
                <w:kern w:val="0"/>
                <w:sz w:val="21"/>
                <w:szCs w:val="21"/>
                <w:lang w:eastAsia="fr-FR"/>
                <w14:ligatures w14:val="none"/>
              </w:rPr>
              <w:t xml:space="preserve"> sûr.</w:t>
            </w:r>
          </w:p>
          <w:p w14:paraId="4332055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 xml:space="preserve">La table de liaison dont le but est de stocker les différents identifiants </w:t>
            </w:r>
            <w:proofErr w:type="spellStart"/>
            <w:r w:rsidRPr="00DA4183">
              <w:rPr>
                <w:rFonts w:ascii="Times New Roman" w:eastAsia="Times New Roman" w:hAnsi="Times New Roman" w:cs="Times New Roman"/>
                <w:b/>
                <w:bCs/>
                <w:kern w:val="0"/>
                <w:sz w:val="21"/>
                <w:szCs w:val="21"/>
                <w:lang w:eastAsia="fr-FR"/>
                <w14:ligatures w14:val="none"/>
              </w:rPr>
              <w:t>pseudonymisés</w:t>
            </w:r>
            <w:proofErr w:type="spellEnd"/>
            <w:r w:rsidRPr="00DA4183">
              <w:rPr>
                <w:rFonts w:ascii="Times New Roman" w:eastAsia="Times New Roman" w:hAnsi="Times New Roman" w:cs="Times New Roman"/>
                <w:b/>
                <w:bCs/>
                <w:kern w:val="0"/>
                <w:sz w:val="21"/>
                <w:szCs w:val="21"/>
                <w:lang w:eastAsia="fr-FR"/>
                <w14:ligatures w14:val="none"/>
              </w:rPr>
              <w:t xml:space="preserve"> des bases hébergées ainsi que l’identifiant principal devra être cloisonnée du reste de l’entrepôt avec un chiffrement dédié à cette seule table. Des profils d’accès spécifiques devront être mis en œuvre afin de garantir une traçabilité renforcée lors de l’accès à ces données.</w:t>
            </w:r>
          </w:p>
          <w:p w14:paraId="7102B3F6"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pseudonymisées seront chiffrées au repos par des algorithmes à l’état de l’art au sein d’un hébergeur certifié pour l’hébergement de données de santé, localisé en France et non soumis à des règlementations extra européennes.</w:t>
            </w:r>
          </w:p>
          <w:p w14:paraId="0FBEE5C6"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mesures de sécurité, qui devront être opérationnelles lors de la mise en œuvre du traitement, devront répondre aux exigences prévues par les articles 5.1.f et 32 du RGPD, compte tenu des risques identifiés par le responsable de traitement. Il appartiendra au responsable de traitement de procéder à une réévaluation régulière des risques pour les personnes concernées et une mise à jour, le cas échéant, de ces mesures de sécurité.</w:t>
            </w:r>
          </w:p>
        </w:tc>
      </w:tr>
      <w:tr w:rsidR="00DA4183" w:rsidRPr="00DA4183" w14:paraId="41BD6E00" w14:textId="77777777" w:rsidTr="00DA4183">
        <w:tc>
          <w:tcPr>
            <w:tcW w:w="2127" w:type="dxa"/>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8CD4BA0"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Transferts de données</w:t>
            </w:r>
          </w:p>
        </w:tc>
        <w:tc>
          <w:tcPr>
            <w:tcW w:w="8221" w:type="dxa"/>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6DB2F97"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présente autorisation ne vaut pas autorisation de transfert en dehors de l’Union européenne.</w:t>
            </w:r>
          </w:p>
        </w:tc>
      </w:tr>
      <w:tr w:rsidR="00DA4183" w:rsidRPr="00DA4183" w14:paraId="30A6FD4B" w14:textId="77777777" w:rsidTr="00DA4183">
        <w:tc>
          <w:tcPr>
            <w:tcW w:w="2127" w:type="dxa"/>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B31CE0B"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Sur la durée de conservation</w:t>
            </w:r>
          </w:p>
        </w:tc>
        <w:tc>
          <w:tcPr>
            <w:tcW w:w="8221" w:type="dxa"/>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0BA3FE1"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d’identification et les coordonnées des personnes provenant des dossiers médicaux composant le dossier communicant en cancérologie seront supprimées dès leur versement dans la PDC. L’INS des personnes sera supprimé dès l’opération de pseudonymisation à bref délai réalisée.</w:t>
            </w:r>
          </w:p>
          <w:p w14:paraId="64318A4E"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à caractère personnel issues du SNDS sont conservées pour une durée conforme aux dispositions de l’article R. 1461-13. I. 1° du CSP.</w:t>
            </w:r>
          </w:p>
          <w:p w14:paraId="5B93BDEE"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données à caractère personnel autres que celles issues du SNDS seront conservées pendant vingt ans à compter de la dernière inclusion de données concernant la personne dans l’entrepôt.</w:t>
            </w:r>
          </w:p>
          <w:p w14:paraId="4DEA4D5E"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La Commission considère que ces durées de conservation des données n’excèdent pas la durée nécessaire aux finalités pour lesquelles elles sont collectées et traitées, conformément aux dispositions de l’article 5.1.e du RGPD.</w:t>
            </w:r>
          </w:p>
        </w:tc>
      </w:tr>
      <w:tr w:rsidR="00DA4183" w:rsidRPr="00DA4183" w14:paraId="11C5577F" w14:textId="77777777" w:rsidTr="00DA4183">
        <w:tc>
          <w:tcPr>
            <w:tcW w:w="2127" w:type="dxa"/>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14:paraId="1150008A"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Observations complémentaires</w:t>
            </w:r>
          </w:p>
        </w:tc>
        <w:tc>
          <w:tcPr>
            <w:tcW w:w="8221" w:type="dxa"/>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14:paraId="45315CE3" w14:textId="77777777" w:rsidR="00DA4183" w:rsidRPr="00DA4183" w:rsidRDefault="00DA4183" w:rsidP="00DA4183">
            <w:pPr>
              <w:spacing w:after="240" w:line="240" w:lineRule="auto"/>
              <w:rPr>
                <w:rFonts w:ascii="Times New Roman" w:eastAsia="Times New Roman" w:hAnsi="Times New Roman" w:cs="Times New Roman"/>
                <w:b/>
                <w:bCs/>
                <w:kern w:val="0"/>
                <w:sz w:val="21"/>
                <w:szCs w:val="21"/>
                <w:lang w:eastAsia="fr-FR"/>
                <w14:ligatures w14:val="none"/>
              </w:rPr>
            </w:pPr>
            <w:r w:rsidRPr="00DA4183">
              <w:rPr>
                <w:rFonts w:ascii="Times New Roman" w:eastAsia="Times New Roman" w:hAnsi="Times New Roman" w:cs="Times New Roman"/>
                <w:b/>
                <w:bCs/>
                <w:kern w:val="0"/>
                <w:sz w:val="21"/>
                <w:szCs w:val="21"/>
                <w:lang w:eastAsia="fr-FR"/>
                <w14:ligatures w14:val="none"/>
              </w:rPr>
              <w:t>Les autres conditions de mise en œuvre de la PDC restent inchangées.</w:t>
            </w:r>
          </w:p>
        </w:tc>
      </w:tr>
    </w:tbl>
    <w:p w14:paraId="5ABA4D3F" w14:textId="77777777" w:rsidR="00DA4183" w:rsidRPr="00DA4183" w:rsidRDefault="00DA4183" w:rsidP="00DA4183">
      <w:pPr>
        <w:shd w:val="clear" w:color="auto" w:fill="FFFFFF"/>
        <w:spacing w:after="240" w:line="240" w:lineRule="auto"/>
        <w:rPr>
          <w:rFonts w:ascii="Arial" w:eastAsia="Times New Roman" w:hAnsi="Arial" w:cs="Arial"/>
          <w:color w:val="000000"/>
          <w:kern w:val="0"/>
          <w:sz w:val="21"/>
          <w:szCs w:val="21"/>
          <w:lang w:eastAsia="fr-FR"/>
          <w14:ligatures w14:val="none"/>
        </w:rPr>
      </w:pPr>
      <w:r w:rsidRPr="00DA4183">
        <w:rPr>
          <w:rFonts w:ascii="Arial" w:eastAsia="Times New Roman" w:hAnsi="Arial" w:cs="Arial"/>
          <w:b/>
          <w:bCs/>
          <w:color w:val="000000"/>
          <w:kern w:val="0"/>
          <w:sz w:val="21"/>
          <w:szCs w:val="21"/>
          <w:lang w:eastAsia="fr-FR"/>
          <w14:ligatures w14:val="none"/>
        </w:rPr>
        <w:t>AUTORISE l’Institut national du cancer</w:t>
      </w:r>
      <w:r w:rsidRPr="00DA4183">
        <w:rPr>
          <w:rFonts w:ascii="Arial" w:eastAsia="Times New Roman" w:hAnsi="Arial" w:cs="Arial"/>
          <w:color w:val="000000"/>
          <w:kern w:val="0"/>
          <w:sz w:val="21"/>
          <w:szCs w:val="21"/>
          <w:lang w:eastAsia="fr-FR"/>
          <w14:ligatures w14:val="none"/>
        </w:rPr>
        <w:t> à mettre en œuvre, pour une durée de dix ans, le traitement décrit ci-dessus.</w:t>
      </w:r>
    </w:p>
    <w:p w14:paraId="383246E0" w14:textId="77777777" w:rsidR="00DA4183" w:rsidRPr="00DA4183" w:rsidRDefault="00DA4183" w:rsidP="00DA4183">
      <w:pPr>
        <w:shd w:val="clear" w:color="auto" w:fill="FFFFFF"/>
        <w:spacing w:after="240" w:line="240" w:lineRule="auto"/>
        <w:rPr>
          <w:rFonts w:ascii="Arial" w:eastAsia="Times New Roman" w:hAnsi="Arial" w:cs="Arial"/>
          <w:color w:val="000000"/>
          <w:kern w:val="0"/>
          <w:sz w:val="21"/>
          <w:szCs w:val="21"/>
          <w:lang w:eastAsia="fr-FR"/>
          <w14:ligatures w14:val="none"/>
        </w:rPr>
      </w:pPr>
      <w:r w:rsidRPr="00DA4183">
        <w:rPr>
          <w:rFonts w:ascii="Arial" w:eastAsia="Times New Roman" w:hAnsi="Arial" w:cs="Arial"/>
          <w:color w:val="000000"/>
          <w:kern w:val="0"/>
          <w:sz w:val="21"/>
          <w:szCs w:val="21"/>
          <w:lang w:eastAsia="fr-FR"/>
          <w14:ligatures w14:val="none"/>
        </w:rPr>
        <w:t>La Présidente</w:t>
      </w:r>
    </w:p>
    <w:p w14:paraId="7BD5C2CF" w14:textId="77777777" w:rsidR="00DA4183" w:rsidRPr="00DA4183" w:rsidRDefault="00DA4183" w:rsidP="00DA4183">
      <w:pPr>
        <w:shd w:val="clear" w:color="auto" w:fill="FFFFFF"/>
        <w:spacing w:after="240" w:line="240" w:lineRule="auto"/>
        <w:rPr>
          <w:rFonts w:ascii="Arial" w:eastAsia="Times New Roman" w:hAnsi="Arial" w:cs="Arial"/>
          <w:color w:val="000000"/>
          <w:kern w:val="0"/>
          <w:sz w:val="21"/>
          <w:szCs w:val="21"/>
          <w:lang w:eastAsia="fr-FR"/>
          <w14:ligatures w14:val="none"/>
        </w:rPr>
      </w:pPr>
      <w:r w:rsidRPr="00DA4183">
        <w:rPr>
          <w:rFonts w:ascii="Arial" w:eastAsia="Times New Roman" w:hAnsi="Arial" w:cs="Arial"/>
          <w:color w:val="000000"/>
          <w:kern w:val="0"/>
          <w:sz w:val="21"/>
          <w:szCs w:val="21"/>
          <w:lang w:eastAsia="fr-FR"/>
          <w14:ligatures w14:val="none"/>
        </w:rPr>
        <w:t>Marie-Laure DENIS</w:t>
      </w:r>
    </w:p>
    <w:p w14:paraId="000B08A4" w14:textId="529F6B52" w:rsidR="00DA4183" w:rsidRDefault="00DA4183">
      <w:pPr>
        <w:spacing w:after="0"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br w:type="page"/>
      </w:r>
    </w:p>
    <w:p w14:paraId="23FD318C" w14:textId="751E94FD" w:rsidR="008C489D" w:rsidRPr="009A0668" w:rsidRDefault="008C489D" w:rsidP="00DA4183">
      <w:pPr>
        <w:pStyle w:val="Titre3"/>
        <w:numPr>
          <w:ilvl w:val="0"/>
          <w:numId w:val="24"/>
        </w:numPr>
        <w:jc w:val="both"/>
      </w:pPr>
      <w:bookmarkStart w:id="91" w:name="_Toc68673859"/>
      <w:bookmarkStart w:id="92" w:name="_Toc75166266"/>
      <w:bookmarkStart w:id="93" w:name="_Toc161759426"/>
      <w:r w:rsidRPr="00F6165E">
        <w:t>Délibération de la CNIL - Délibération 2019-083 du 20/06/2019</w:t>
      </w:r>
      <w:bookmarkEnd w:id="91"/>
      <w:bookmarkEnd w:id="92"/>
      <w:bookmarkEnd w:id="93"/>
      <w:r w:rsidR="00951FC3">
        <w:t xml:space="preserve"> </w:t>
      </w:r>
      <w:r w:rsidR="00951FC3" w:rsidRPr="00951FC3">
        <w:rPr>
          <w:highlight w:val="yellow"/>
        </w:rPr>
        <w:t xml:space="preserve">(à supprimer si l’étude n’entre pas dans le cadre de la décision </w:t>
      </w:r>
      <w:proofErr w:type="gramStart"/>
      <w:r w:rsidR="00951FC3" w:rsidRPr="00951FC3">
        <w:rPr>
          <w:highlight w:val="yellow"/>
        </w:rPr>
        <w:t>unique )</w:t>
      </w:r>
      <w:proofErr w:type="gramEnd"/>
    </w:p>
    <w:p w14:paraId="4362993B" w14:textId="77777777" w:rsidR="008C489D" w:rsidRDefault="008C489D" w:rsidP="008D6650">
      <w:pPr>
        <w:jc w:val="both"/>
      </w:pPr>
      <w:r>
        <w:t>Commission Nationale de l’Informatique et des Libertés</w:t>
      </w:r>
    </w:p>
    <w:p w14:paraId="389D5050" w14:textId="77777777" w:rsidR="008C489D" w:rsidRDefault="008C489D" w:rsidP="008D6650">
      <w:pPr>
        <w:jc w:val="both"/>
      </w:pPr>
      <w:r>
        <w:t xml:space="preserve">Nature de la délibération : </w:t>
      </w:r>
      <w:r w:rsidR="00A63C13">
        <w:t>Décision</w:t>
      </w:r>
      <w:r>
        <w:t xml:space="preserve"> unique</w:t>
      </w:r>
    </w:p>
    <w:p w14:paraId="061EEBC7" w14:textId="77777777" w:rsidR="008C489D" w:rsidRDefault="008C489D" w:rsidP="008D6650">
      <w:pPr>
        <w:jc w:val="both"/>
      </w:pPr>
      <w:r>
        <w:t xml:space="preserve">Etat juridique : En vigueur </w:t>
      </w:r>
    </w:p>
    <w:p w14:paraId="6B47D52E" w14:textId="77777777" w:rsidR="008C489D" w:rsidRDefault="008C489D" w:rsidP="008D6650">
      <w:pPr>
        <w:jc w:val="both"/>
      </w:pPr>
      <w:r>
        <w:t>Date de publication sur Légifrance : Samedi 11 juillet 2020</w:t>
      </w:r>
    </w:p>
    <w:p w14:paraId="3DCA4623" w14:textId="06550484" w:rsidR="008C489D" w:rsidRDefault="008C489D" w:rsidP="008D6650">
      <w:pPr>
        <w:jc w:val="both"/>
        <w:rPr>
          <w:b/>
          <w:bCs/>
        </w:rPr>
      </w:pPr>
      <w:r w:rsidRPr="00156119">
        <w:rPr>
          <w:b/>
          <w:bCs/>
        </w:rPr>
        <w:t>Délibération n° 2019-083 du 20 juin 2019 portant décision unique et autorisant l’Institut National du Cancer (INCa) à mettre en œuvre des traitements automatisés à des fins de recherche, d’étude et d’évaluation basés sur la « Plateforme de données en cancérologie » de l’INCa (Saisine n° 918314)</w:t>
      </w:r>
    </w:p>
    <w:p w14:paraId="13F19372" w14:textId="77777777" w:rsidR="008C489D" w:rsidRDefault="008C489D" w:rsidP="008D6650">
      <w:pPr>
        <w:jc w:val="both"/>
      </w:pPr>
      <w:r>
        <w:t>La Commission nationale de l'informatique et des libertés,</w:t>
      </w:r>
    </w:p>
    <w:p w14:paraId="35B23104" w14:textId="069AFC3F" w:rsidR="008C489D" w:rsidRDefault="008C489D" w:rsidP="008D6650">
      <w:pPr>
        <w:jc w:val="both"/>
      </w:pPr>
      <w:r>
        <w:t>Saisie par l’Institut National du Cancer d’une demande d’autorisation relative à un traitement automatisé de données à caractère personnel ayant pour finalité la réalisation de traitements à des fins de recherche, étude ou évaluation basés sur la Plateforme de données en cancérologie de l’INCa autorisée conformément à la délibération n°2019-082 du 20 juin 2019 ;</w:t>
      </w:r>
    </w:p>
    <w:p w14:paraId="100F2D90" w14:textId="77777777" w:rsidR="008C489D" w:rsidRDefault="008C489D" w:rsidP="008D6650">
      <w:pPr>
        <w:jc w:val="both"/>
      </w:pPr>
      <w:r>
        <w:t>Vu la convention n° 108 du Conseil de l’Europe pour la protection des personnes à l’égard du traitement automatisé des données à caractère personnel ;</w:t>
      </w:r>
    </w:p>
    <w:p w14:paraId="3153AF40" w14:textId="77777777" w:rsidR="008C489D" w:rsidRDefault="008C489D" w:rsidP="008D6650">
      <w:pPr>
        <w:jc w:val="both"/>
      </w:pPr>
      <w:r>
        <w:t>Vu le règlement (UE) 2016/679 du Parlement européen et du Conseil du 27 avril 2016 relatif à la protection des personnes physiques à l’égard du traitement des données à caractère personnel et à la libre circulation de ces données, et abrogeant la directive 95/46/CE ;</w:t>
      </w:r>
    </w:p>
    <w:p w14:paraId="7276FE18" w14:textId="77777777" w:rsidR="008C489D" w:rsidRDefault="008C489D" w:rsidP="008D6650">
      <w:pPr>
        <w:jc w:val="both"/>
      </w:pPr>
      <w:r>
        <w:t>Vu la loi n° 78-17 du 6 janvier 1978 modifiée relative à l’informatique, aux fichiers et aux libertés, notamment ses articles 6 II, 44 3°, 66, 72 et suivants ;</w:t>
      </w:r>
    </w:p>
    <w:p w14:paraId="59FEC25F" w14:textId="77777777" w:rsidR="008C489D" w:rsidRDefault="008C489D" w:rsidP="008D6650">
      <w:pPr>
        <w:jc w:val="both"/>
      </w:pPr>
      <w:r>
        <w:t>Vu la loi n°2016-41 du 26 janvier 2016 de modernisation de notre système de santé, notamment son article 193 ;</w:t>
      </w:r>
    </w:p>
    <w:p w14:paraId="1D73A6D5" w14:textId="77777777" w:rsidR="008C489D" w:rsidRDefault="008C489D" w:rsidP="008D6650">
      <w:pPr>
        <w:jc w:val="both"/>
      </w:pPr>
      <w:r>
        <w:t>Vu le Code de la santé publique, notamment son article L.1415-2 ;</w:t>
      </w:r>
    </w:p>
    <w:p w14:paraId="78D3F791" w14:textId="77777777" w:rsidR="008C489D" w:rsidRDefault="008C489D" w:rsidP="008D6650">
      <w:pPr>
        <w:jc w:val="both"/>
      </w:pPr>
      <w:r>
        <w:t>Vu le décret n° 2019-536 du 29 mai 2019 pris pour l’application de la loi n° 78-17 du 6 janvier 1978 relative à l’informatique, aux fichiers et aux libertés ;</w:t>
      </w:r>
    </w:p>
    <w:p w14:paraId="76CD6CBC" w14:textId="77777777" w:rsidR="008C489D" w:rsidRDefault="008C489D" w:rsidP="008D6650">
      <w:pPr>
        <w:jc w:val="both"/>
      </w:pPr>
      <w:r>
        <w:t>Vu l’avis favorable du comité d’expertise pour les recherches, les études et les évaluations dans le domaine de la santé (CEREES) du 18 juillet 2018 ;</w:t>
      </w:r>
    </w:p>
    <w:p w14:paraId="41D15A43" w14:textId="77777777" w:rsidR="008C489D" w:rsidRDefault="008C489D" w:rsidP="008D6650">
      <w:pPr>
        <w:jc w:val="both"/>
      </w:pPr>
      <w:r>
        <w:t xml:space="preserve">Après avoir entendu Mme Valérie PEUGEOT, commissaire, en son rapport, et Mme </w:t>
      </w:r>
      <w:proofErr w:type="spellStart"/>
      <w:r>
        <w:t>Nacima</w:t>
      </w:r>
      <w:proofErr w:type="spellEnd"/>
      <w:r>
        <w:t xml:space="preserve"> BELKACEM, commissaire du Gouvernement, en ses observations,</w:t>
      </w:r>
    </w:p>
    <w:p w14:paraId="1780A0D2" w14:textId="77777777" w:rsidR="008C489D" w:rsidRDefault="008C489D" w:rsidP="008D6650">
      <w:pPr>
        <w:jc w:val="both"/>
        <w:rPr>
          <w:b/>
          <w:bCs/>
        </w:rPr>
      </w:pPr>
      <w:r w:rsidRPr="00156119">
        <w:rPr>
          <w:b/>
          <w:bCs/>
        </w:rPr>
        <w:t>Formule les observations suivantes</w:t>
      </w:r>
    </w:p>
    <w:p w14:paraId="3CA66205" w14:textId="02CBAA86" w:rsidR="008C489D" w:rsidRDefault="008C489D" w:rsidP="008D6650">
      <w:pPr>
        <w:jc w:val="both"/>
      </w:pPr>
      <w:r>
        <w:t>L’INCa dispose d’une autorisation pour la constitution d’un entrepôt, dénommé Plateforme de données en cancérologie (délibération n°2019-082), nécessaire à la mise en œuvre de ses missions de service public. Cet entrepôt se compose de données issues du Système national des données de santé (SNDS), de données issues des registres du cancer et de données issues des structures de gestion de dépistage du cancer.</w:t>
      </w:r>
    </w:p>
    <w:p w14:paraId="560B2977" w14:textId="5A597B8B" w:rsidR="008C489D" w:rsidRDefault="008C489D" w:rsidP="008D6650">
      <w:pPr>
        <w:jc w:val="both"/>
      </w:pPr>
      <w:r>
        <w:t>Au titre de ses missions, l’INCa envisage de mettre en œuvre annuellement une centaine de traitements sur la base des données figurant dans cet entrepôt.</w:t>
      </w:r>
    </w:p>
    <w:p w14:paraId="0542974C" w14:textId="77777777" w:rsidR="008C489D" w:rsidRDefault="008C489D" w:rsidP="008D6650">
      <w:pPr>
        <w:jc w:val="both"/>
      </w:pPr>
      <w:r>
        <w:t xml:space="preserve">Pour ce faire, elle a déposé auprès de la Commission une demande d’autorisation fondée sur l’article 66 de la loi n° 78-17 du 6 janvier 1978 modifiée (ci-après loi informatique et </w:t>
      </w:r>
      <w:proofErr w:type="gramStart"/>
      <w:r>
        <w:t>libertés )</w:t>
      </w:r>
      <w:proofErr w:type="gramEnd"/>
      <w:r>
        <w:t>.</w:t>
      </w:r>
    </w:p>
    <w:p w14:paraId="66B2E2A6" w14:textId="77777777" w:rsidR="008C489D" w:rsidRDefault="008C489D" w:rsidP="008D6650">
      <w:pPr>
        <w:jc w:val="both"/>
      </w:pPr>
      <w:r>
        <w:t>Les traitements décrits relèvent du régime de l’autorisation de traitement à des fins de recherche, d’étude ou d’évaluation. La Commission a estimé opportun, au vu des éléments présentés dans le dossier de demande, et notamment de la volumétrie des traitements envisagés, d’en autoriser la mise en œuvre sur le fondement des dispositions des articles 66-IV, 72 et suivants de la loi informatique et libertés , dans le cadre d’une décision unique.</w:t>
      </w:r>
    </w:p>
    <w:p w14:paraId="77ADE24D" w14:textId="77777777" w:rsidR="008C489D" w:rsidRDefault="008C489D" w:rsidP="008D6650">
      <w:pPr>
        <w:jc w:val="both"/>
        <w:rPr>
          <w:b/>
          <w:bCs/>
        </w:rPr>
      </w:pPr>
      <w:r w:rsidRPr="00156119">
        <w:rPr>
          <w:b/>
          <w:bCs/>
        </w:rPr>
        <w:t>Sur le responsable de traitement</w:t>
      </w:r>
    </w:p>
    <w:p w14:paraId="64CFA8AB" w14:textId="35E56B6D" w:rsidR="008C489D" w:rsidRDefault="008C489D" w:rsidP="008D6650">
      <w:pPr>
        <w:jc w:val="both"/>
      </w:pPr>
      <w:r>
        <w:t>L’Institut National du Cancer (INCa), dont les missions sont précisées à l’article L. 1415-2 du code de la santé publique, est l’agence d'expertise sanitaire et scientifique en cancérologie de l’État chargée de coordonner les actions de lutte contre le cancer.</w:t>
      </w:r>
    </w:p>
    <w:p w14:paraId="0D869C57" w14:textId="77777777" w:rsidR="008C489D" w:rsidRDefault="008C489D" w:rsidP="008D6650">
      <w:pPr>
        <w:jc w:val="both"/>
      </w:pPr>
      <w:r>
        <w:t>Ainsi, il a notamment pour mission l’observation et l’évaluation du dispositif de lutte contre le cancer, l’information des professionnels et le public sur l'ensemble des problèmes relatifs au cancer et la réalisation, à la demande des ministres intéressés, de toute expertise sur les questions relatives à la cancérologie et à la lutte contre le cancer.</w:t>
      </w:r>
    </w:p>
    <w:p w14:paraId="00285E85" w14:textId="77777777" w:rsidR="008C489D" w:rsidRDefault="008C489D" w:rsidP="008D6650">
      <w:pPr>
        <w:jc w:val="both"/>
        <w:rPr>
          <w:b/>
          <w:bCs/>
        </w:rPr>
      </w:pPr>
      <w:r w:rsidRPr="00156119">
        <w:rPr>
          <w:b/>
          <w:bCs/>
        </w:rPr>
        <w:t>Sur l’application des dispositions liées au SNDS</w:t>
      </w:r>
    </w:p>
    <w:p w14:paraId="27BECE8A" w14:textId="77777777" w:rsidR="008C489D" w:rsidRDefault="008C489D" w:rsidP="008D6650">
      <w:pPr>
        <w:jc w:val="both"/>
      </w:pPr>
      <w:r>
        <w:t>La Commission rappelle que l’ensemble des dispositions législatives et réglementaires relatives au SNDS est applicable en l’espèce et notamment l’interdiction d’utiliser ces données pour les finalités décrites à l’article L. 1461-1-V du code la santé publique.</w:t>
      </w:r>
    </w:p>
    <w:p w14:paraId="5E063CC7" w14:textId="77777777" w:rsidR="008C489D" w:rsidRDefault="008C489D" w:rsidP="008D6650">
      <w:pPr>
        <w:jc w:val="both"/>
        <w:rPr>
          <w:b/>
          <w:bCs/>
        </w:rPr>
      </w:pPr>
      <w:r w:rsidRPr="00156119">
        <w:rPr>
          <w:b/>
          <w:bCs/>
        </w:rPr>
        <w:t>Sur la licéité des traitements et les conditions permettant de traiter des données concernant la santé</w:t>
      </w:r>
    </w:p>
    <w:p w14:paraId="305692CF" w14:textId="3D56FC9B" w:rsidR="008C489D" w:rsidRDefault="008C489D" w:rsidP="008D6650">
      <w:pPr>
        <w:jc w:val="both"/>
      </w:pPr>
      <w:r>
        <w:t>Les traitements mis en œuvre par l’INCa s’inscrivent dans le cadre de ses missions de service public telles que précisées ci-dessus et sont nécessaires à l’exécution d’une mission d’intérêt public.</w:t>
      </w:r>
    </w:p>
    <w:p w14:paraId="044AD3FD" w14:textId="00197A48" w:rsidR="008C489D" w:rsidRDefault="008C489D" w:rsidP="008D6650">
      <w:pPr>
        <w:jc w:val="both"/>
      </w:pPr>
      <w:r>
        <w:t>Ils sont, à ce titre, licites au regard des articles 6, paragraphe 1 point e) et remplissent une condition permettant le traitement des données concernant la santé au regard de 9 paragraphe 2 point j) du Règlement général sur la protection des données (ci-après RGPD).</w:t>
      </w:r>
    </w:p>
    <w:p w14:paraId="45B33AA5" w14:textId="77777777" w:rsidR="008C489D" w:rsidRDefault="008C489D" w:rsidP="008D6650">
      <w:pPr>
        <w:jc w:val="both"/>
        <w:rPr>
          <w:b/>
          <w:bCs/>
        </w:rPr>
      </w:pPr>
      <w:r w:rsidRPr="00156119">
        <w:rPr>
          <w:b/>
          <w:bCs/>
        </w:rPr>
        <w:t>Sur la finalité des traitements et leur caractère d’intérêt public</w:t>
      </w:r>
    </w:p>
    <w:p w14:paraId="07DDAC74" w14:textId="4D258F23" w:rsidR="008C489D" w:rsidRDefault="008C489D" w:rsidP="008D6650">
      <w:pPr>
        <w:jc w:val="both"/>
      </w:pPr>
      <w:r>
        <w:t>Les traitements nécessitant un accès aux données de la Plateforme de données en cancérologie ont pour finalité la réalisation de recherches, d’études et évaluations dans le cadre de l’exercice des missions de service public de l’INCa.</w:t>
      </w:r>
    </w:p>
    <w:p w14:paraId="5E2D8FD1" w14:textId="77777777" w:rsidR="008C489D" w:rsidRDefault="008C489D" w:rsidP="008D6650">
      <w:pPr>
        <w:jc w:val="both"/>
      </w:pPr>
      <w:r>
        <w:t>Pour ce faire, seront réalisées en particulier des études et évaluations :</w:t>
      </w:r>
    </w:p>
    <w:p w14:paraId="14F32F2D" w14:textId="77777777" w:rsidR="008C489D" w:rsidRDefault="008C489D" w:rsidP="00DA4183">
      <w:pPr>
        <w:numPr>
          <w:ilvl w:val="0"/>
          <w:numId w:val="3"/>
        </w:numPr>
        <w:spacing w:line="240" w:lineRule="auto"/>
        <w:jc w:val="both"/>
      </w:pPr>
      <w:r>
        <w:t>l’élaboration de tableaux de bord portant sur l’ensemble de la cancérologie (par exemple : dépenses relatives aux médicaments anticancéreux en milieu hospitalier ou en ville, activités de chimiothérapie en fonction du type de cancer ou de l’établissement de soins) ;</w:t>
      </w:r>
    </w:p>
    <w:p w14:paraId="50659A8D" w14:textId="77777777" w:rsidR="008C489D" w:rsidRDefault="008C489D" w:rsidP="00DA4183">
      <w:pPr>
        <w:numPr>
          <w:ilvl w:val="0"/>
          <w:numId w:val="3"/>
        </w:numPr>
        <w:spacing w:line="240" w:lineRule="auto"/>
        <w:jc w:val="both"/>
      </w:pPr>
      <w:r>
        <w:t>des études relatives aux trajectoires de soins (suivi d’un groupe de personnes pour identifier la survenue d’un évènement ou observer les séquences de soins) ;</w:t>
      </w:r>
    </w:p>
    <w:p w14:paraId="64E6FED1" w14:textId="77777777" w:rsidR="008C489D" w:rsidRDefault="008C489D" w:rsidP="00DA4183">
      <w:pPr>
        <w:numPr>
          <w:ilvl w:val="0"/>
          <w:numId w:val="3"/>
        </w:numPr>
        <w:spacing w:line="240" w:lineRule="auto"/>
        <w:jc w:val="both"/>
      </w:pPr>
      <w:r>
        <w:t>des études demandées par des ministères.</w:t>
      </w:r>
    </w:p>
    <w:p w14:paraId="0CCA91D6" w14:textId="77777777" w:rsidR="008C489D" w:rsidRDefault="008C489D" w:rsidP="008D6650">
      <w:pPr>
        <w:jc w:val="both"/>
      </w:pPr>
      <w:r>
        <w:t>La Commission considère que la finalité des traitements est déterminée, explicite et légitime, conformément à l’article 5 paragraphe 1 point b) du RGPD.</w:t>
      </w:r>
    </w:p>
    <w:p w14:paraId="52498686" w14:textId="77777777" w:rsidR="008C489D" w:rsidRDefault="008C489D" w:rsidP="008D6650">
      <w:pPr>
        <w:jc w:val="both"/>
      </w:pPr>
      <w:r>
        <w:t xml:space="preserve">Par ailleurs, elle estime que ces traitements présentent une finalité d’intérêt public, conformément à l’article 66-I de la loi informatique et </w:t>
      </w:r>
      <w:proofErr w:type="gramStart"/>
      <w:r>
        <w:t>libertés .</w:t>
      </w:r>
      <w:proofErr w:type="gramEnd"/>
    </w:p>
    <w:p w14:paraId="69BA9CF7" w14:textId="77777777" w:rsidR="008C489D" w:rsidRDefault="008C489D" w:rsidP="008D6650">
      <w:pPr>
        <w:jc w:val="both"/>
        <w:rPr>
          <w:b/>
          <w:bCs/>
        </w:rPr>
      </w:pPr>
      <w:r w:rsidRPr="00156119">
        <w:rPr>
          <w:b/>
          <w:bCs/>
        </w:rPr>
        <w:t>Sur les catégories de données traitées</w:t>
      </w:r>
    </w:p>
    <w:p w14:paraId="3724AB37" w14:textId="77777777" w:rsidR="008C489D" w:rsidRDefault="008C489D" w:rsidP="008D6650">
      <w:pPr>
        <w:jc w:val="both"/>
      </w:pPr>
      <w:r>
        <w:t xml:space="preserve">La Commission rappelle que le responsable de traitement ne doit traiter, dans le cadre de la présente décision unique, que les données strictement nécessaires et pertinentes au regard des objectifs des traitements et contenues dans </w:t>
      </w:r>
      <w:proofErr w:type="spellStart"/>
      <w:r>
        <w:t>laPlateforme</w:t>
      </w:r>
      <w:proofErr w:type="spellEnd"/>
      <w:r>
        <w:t xml:space="preserve"> de données en cancérologie.</w:t>
      </w:r>
    </w:p>
    <w:p w14:paraId="14C91DA6" w14:textId="77777777" w:rsidR="008C489D" w:rsidRDefault="008C489D" w:rsidP="008D6650">
      <w:pPr>
        <w:jc w:val="both"/>
      </w:pPr>
      <w:r>
        <w:t>Les catégories de données traitées susceptibles d’être traitées sont celles dont le traitement est autorisé dans le cadre de la délibération n° 2019-082, à savoir :</w:t>
      </w:r>
    </w:p>
    <w:p w14:paraId="0283136B" w14:textId="34F120D6" w:rsidR="008C489D" w:rsidRDefault="008C489D" w:rsidP="00DA4183">
      <w:pPr>
        <w:numPr>
          <w:ilvl w:val="0"/>
          <w:numId w:val="2"/>
        </w:numPr>
        <w:spacing w:line="240" w:lineRule="auto"/>
        <w:jc w:val="both"/>
      </w:pPr>
      <w:r>
        <w:t>les données issues du SNDS pour lesquelles l’INCa dispose, au titre des articles R. 1461-12 et R.1461-14 du code de la santé publique, d’un accès permanent ;</w:t>
      </w:r>
    </w:p>
    <w:p w14:paraId="798CA67E" w14:textId="77777777" w:rsidR="008C489D" w:rsidRDefault="008C489D" w:rsidP="00DA4183">
      <w:pPr>
        <w:numPr>
          <w:ilvl w:val="0"/>
          <w:numId w:val="2"/>
        </w:numPr>
        <w:spacing w:line="240" w:lineRule="auto"/>
        <w:jc w:val="both"/>
      </w:pPr>
      <w:r>
        <w:t>les données issues des registres du cancer ;</w:t>
      </w:r>
    </w:p>
    <w:p w14:paraId="23DC1994" w14:textId="77777777" w:rsidR="008C489D" w:rsidRDefault="008C489D" w:rsidP="00DA4183">
      <w:pPr>
        <w:numPr>
          <w:ilvl w:val="0"/>
          <w:numId w:val="2"/>
        </w:numPr>
        <w:spacing w:line="240" w:lineRule="auto"/>
        <w:jc w:val="both"/>
      </w:pPr>
      <w:r>
        <w:t>les données issues des structures de gestion de dépistages du cancer.</w:t>
      </w:r>
    </w:p>
    <w:p w14:paraId="4DCDF93D" w14:textId="77777777" w:rsidR="008C489D" w:rsidRDefault="008C489D" w:rsidP="008D6650">
      <w:pPr>
        <w:jc w:val="both"/>
      </w:pPr>
      <w:r>
        <w:t>La Commission rappelle que, conformément à l'article 30 du RGPD, le responsable de traitement devra tenir à jour, au sein du registre des activités de traitement la liste des traitements mis en œuvre dans le cadre de la présente décision unique.</w:t>
      </w:r>
    </w:p>
    <w:p w14:paraId="71DF7505" w14:textId="77777777" w:rsidR="008C489D" w:rsidRDefault="008C489D" w:rsidP="008D6650">
      <w:pPr>
        <w:jc w:val="both"/>
      </w:pPr>
      <w:r>
        <w:t>Le caractère adéquat, pertinent et limité à ce qui est nécessaire au regard des finalités pour lesquelles les données sont traitées, la zone géographique concernée et la profondeur historique des données consultées devront être justifiés pour chaque traitement mis en œuvre dans le cadre de la présente décision unique dans le registre des activités de traitement.</w:t>
      </w:r>
    </w:p>
    <w:p w14:paraId="2499352F" w14:textId="77777777" w:rsidR="008C489D" w:rsidRDefault="008C489D" w:rsidP="008D6650">
      <w:pPr>
        <w:jc w:val="both"/>
        <w:rPr>
          <w:b/>
          <w:bCs/>
        </w:rPr>
      </w:pPr>
      <w:r w:rsidRPr="00156119">
        <w:rPr>
          <w:b/>
          <w:bCs/>
        </w:rPr>
        <w:t>Sur la durée de conservation des données</w:t>
      </w:r>
    </w:p>
    <w:p w14:paraId="249A0300" w14:textId="77777777" w:rsidR="008C489D" w:rsidRDefault="008C489D" w:rsidP="008D6650">
      <w:pPr>
        <w:jc w:val="both"/>
      </w:pPr>
      <w:r>
        <w:t>La durée de la présente décision unique, durant laquelle des traitements à des fins d’étude, recherche ou évaluation réalisés à partir des données de l’entrepôt peuvent être mis en œuvre, est fixée à six ans.</w:t>
      </w:r>
    </w:p>
    <w:p w14:paraId="4371CFF2" w14:textId="77777777" w:rsidR="008C489D" w:rsidRDefault="008C489D" w:rsidP="008D6650">
      <w:pPr>
        <w:jc w:val="both"/>
      </w:pPr>
      <w:r>
        <w:t>La durée de conservation de chaque traitement devra être limitée à la durée nécessaire à la mise en œuvre de ce traitement et ne pourra excéder deux ans après la dernière publication des résultats ou en l’absence de publication, excéder la date de signature du rapport final de l’étude.</w:t>
      </w:r>
    </w:p>
    <w:p w14:paraId="0043528E" w14:textId="77777777" w:rsidR="008C489D" w:rsidRDefault="008C489D" w:rsidP="008D6650">
      <w:pPr>
        <w:jc w:val="both"/>
        <w:rPr>
          <w:b/>
          <w:bCs/>
        </w:rPr>
      </w:pPr>
      <w:r w:rsidRPr="00156119">
        <w:rPr>
          <w:b/>
          <w:bCs/>
        </w:rPr>
        <w:t>Sur la publication des résultats</w:t>
      </w:r>
    </w:p>
    <w:p w14:paraId="31C2CAAF" w14:textId="77777777" w:rsidR="008C489D" w:rsidRDefault="008C489D" w:rsidP="008D6650">
      <w:pPr>
        <w:jc w:val="both"/>
      </w:pPr>
      <w:r>
        <w:t>La Commission rappelle que, lorsque le résultat du traitement de données est rendu public, l’identification directe ou indirecte des personnes concernées doit être impossible, conformément à l’article 68 de la loi informatique et libertés.</w:t>
      </w:r>
    </w:p>
    <w:p w14:paraId="18E65ECA" w14:textId="77777777" w:rsidR="008C489D" w:rsidRDefault="008C489D" w:rsidP="008D6650">
      <w:pPr>
        <w:jc w:val="both"/>
      </w:pPr>
      <w:r>
        <w:t>Les résultats des études réalisées dans le cadre de la présente décision unique pourront notamment être adressés au public, aux pouvoirs publics ou faire l’objet de publications scientifiques.</w:t>
      </w:r>
    </w:p>
    <w:p w14:paraId="58CF2A9F" w14:textId="77777777" w:rsidR="008C489D" w:rsidRDefault="008C489D" w:rsidP="008D6650">
      <w:pPr>
        <w:jc w:val="both"/>
        <w:rPr>
          <w:b/>
          <w:bCs/>
        </w:rPr>
      </w:pPr>
      <w:r w:rsidRPr="00156119">
        <w:rPr>
          <w:b/>
          <w:bCs/>
        </w:rPr>
        <w:t>Sur les catégories de destinataires des données</w:t>
      </w:r>
    </w:p>
    <w:p w14:paraId="1EA2FB4B" w14:textId="17ADEE51" w:rsidR="008C489D" w:rsidRDefault="008C489D" w:rsidP="008D6650">
      <w:pPr>
        <w:jc w:val="both"/>
      </w:pPr>
      <w:r>
        <w:t>Seul l’INCa a accès aux données dans le cadre de la présente décision unique. L’INCa tient à jour des documents indiquant la ou les personnes compétentes en son sein pour délivrer l'habilitation à accéder aux données, la liste des personnes habilitées à accéder à ces données, leurs profils d'accès respectifs et les modalités d'attribution, de gestion et de contrôle des habilitations. Seules les personnes habilitées par le responsable de traitement peuvent avoir accès aux données.</w:t>
      </w:r>
    </w:p>
    <w:p w14:paraId="6D8F2471" w14:textId="77777777" w:rsidR="008C489D" w:rsidRDefault="008C489D" w:rsidP="008D6650">
      <w:pPr>
        <w:jc w:val="both"/>
      </w:pPr>
      <w:r>
        <w:t>Ces catégories de personnes sont soumises au secret professionnel dans les conditions définies par les articles 226-13 et 226-14 du code pénal.</w:t>
      </w:r>
    </w:p>
    <w:p w14:paraId="2775E5BC" w14:textId="069C5EF7" w:rsidR="008C489D" w:rsidRDefault="008C489D" w:rsidP="008D6650">
      <w:pPr>
        <w:jc w:val="both"/>
      </w:pPr>
      <w:r>
        <w:t>La qualification des personnes habilitées et leurs droits d'accès doivent être régulièrement réévalués, conformément aux modalités décrites dans la procédure d’habilitation établie par l’INCa.</w:t>
      </w:r>
    </w:p>
    <w:p w14:paraId="70FB1950" w14:textId="77777777" w:rsidR="008C489D" w:rsidRDefault="008C489D" w:rsidP="008D6650">
      <w:pPr>
        <w:jc w:val="both"/>
        <w:rPr>
          <w:b/>
          <w:bCs/>
        </w:rPr>
      </w:pPr>
      <w:r w:rsidRPr="00156119">
        <w:rPr>
          <w:b/>
          <w:bCs/>
        </w:rPr>
        <w:t>Sur l'information et les droits des personnes</w:t>
      </w:r>
    </w:p>
    <w:p w14:paraId="6C06FEDB" w14:textId="77777777" w:rsidR="008C489D" w:rsidRDefault="008C489D" w:rsidP="008D6650">
      <w:pPr>
        <w:jc w:val="both"/>
      </w:pPr>
      <w:r>
        <w:t>Les personnes concernées sont informées des traitements et peuvent exercer leurs droits conformément aux modalités décrites dans la délibération précitée.</w:t>
      </w:r>
    </w:p>
    <w:p w14:paraId="636C0DDE" w14:textId="37F3CC6C" w:rsidR="008C489D" w:rsidRDefault="008C489D" w:rsidP="008D6650">
      <w:pPr>
        <w:jc w:val="both"/>
      </w:pPr>
      <w:r>
        <w:t>En tout état de cause, l’ INCa s’engage à mettre à disposition sur son site internet une information collective relative à l’entrepôt ainsi que des informations sur les projets de recherche ultérieurs menés à partir des données qu’il contient et comportant l’ensemble des mentions prévues par l’article 14 du RGPD pour chaque projet de recherche.</w:t>
      </w:r>
    </w:p>
    <w:p w14:paraId="435CF6A8" w14:textId="77777777" w:rsidR="008C489D" w:rsidRDefault="008C489D" w:rsidP="008D6650">
      <w:pPr>
        <w:jc w:val="both"/>
        <w:rPr>
          <w:b/>
          <w:bCs/>
        </w:rPr>
      </w:pPr>
      <w:r w:rsidRPr="00156119">
        <w:rPr>
          <w:b/>
          <w:bCs/>
        </w:rPr>
        <w:t>Sur la sécurité des données et la traçabilité des actions</w:t>
      </w:r>
    </w:p>
    <w:p w14:paraId="606F7248" w14:textId="1EF628E6" w:rsidR="008C489D" w:rsidRDefault="008C489D" w:rsidP="008D6650">
      <w:pPr>
        <w:jc w:val="both"/>
      </w:pPr>
      <w:r>
        <w:t>Seuls des traitements réalisés dans l’environnement homologué de l’INCa conformément à la délibération précitée peuvent être réalisés dans le cadre de la présente décision unique.</w:t>
      </w:r>
    </w:p>
    <w:p w14:paraId="2E801989" w14:textId="77777777" w:rsidR="008C489D" w:rsidRDefault="008C489D" w:rsidP="008D6650">
      <w:pPr>
        <w:jc w:val="both"/>
        <w:rPr>
          <w:b/>
          <w:bCs/>
        </w:rPr>
      </w:pPr>
      <w:r w:rsidRPr="00156119">
        <w:rPr>
          <w:b/>
          <w:bCs/>
        </w:rPr>
        <w:t>Principe de transparence</w:t>
      </w:r>
    </w:p>
    <w:p w14:paraId="03606D65" w14:textId="77777777" w:rsidR="008C489D" w:rsidRDefault="008C489D" w:rsidP="008D6650">
      <w:pPr>
        <w:jc w:val="both"/>
      </w:pPr>
      <w:r>
        <w:t>La mise à disposition des données du SNDS et de ses composantes est conçue de façon à rendre compte de leur utilisation à la société civile. À cette fin, l’article L. 1461-3 du code de la santé publique subordonne l’accès aux données du SNDS et de ses composantes à la communication à l’INDS de plusieurs éléments par le responsable de traitement, avant et après les études.</w:t>
      </w:r>
    </w:p>
    <w:p w14:paraId="25518041" w14:textId="77777777" w:rsidR="008C489D" w:rsidRDefault="008C489D" w:rsidP="008D6650">
      <w:pPr>
        <w:jc w:val="both"/>
      </w:pPr>
      <w:r>
        <w:t>Ainsi, le responsable de traitement s’engage à enregistrer auprès du répertoire public tenu par l’INDS les études réalisées dans le cadre de cette décision unique. Cet enregistrement, à effectuer avant le début des traitements par le responsable de traitement ou la personne agissant pour son compte, s’accompagne de la transmission à l’INDS d’un dossier comportant :</w:t>
      </w:r>
    </w:p>
    <w:p w14:paraId="42B1F8CF" w14:textId="77777777" w:rsidR="008C489D" w:rsidRDefault="008C489D" w:rsidP="00DA4183">
      <w:pPr>
        <w:numPr>
          <w:ilvl w:val="0"/>
          <w:numId w:val="4"/>
        </w:numPr>
        <w:spacing w:line="240" w:lineRule="auto"/>
        <w:jc w:val="both"/>
      </w:pPr>
      <w:r>
        <w:t>le protocole, incluant la justification de l’intérêt public, ainsi qu’un résumé, selon le modèle mis à disposition par l’INDS ;</w:t>
      </w:r>
    </w:p>
    <w:p w14:paraId="40A2E3B5" w14:textId="77777777" w:rsidR="008C489D" w:rsidRDefault="008C489D" w:rsidP="00DA4183">
      <w:pPr>
        <w:numPr>
          <w:ilvl w:val="0"/>
          <w:numId w:val="4"/>
        </w:numPr>
        <w:spacing w:line="240" w:lineRule="auto"/>
        <w:jc w:val="both"/>
      </w:pPr>
      <w:r>
        <w:t>la déclaration d’intérêts du responsable du traitement, en rapport avec l'objet des traitements.</w:t>
      </w:r>
    </w:p>
    <w:p w14:paraId="44066DAC" w14:textId="77777777" w:rsidR="008C489D" w:rsidRDefault="008C489D" w:rsidP="008D6650">
      <w:pPr>
        <w:jc w:val="both"/>
      </w:pPr>
      <w:r>
        <w:t>À la fin des études, la méthode et les résultats obtenus devront être communiqués à l’INDS en vue de leur publication. L’enregistrement des traitements et la transmission des résultats sont effectués conformément aux modalités définies par l’INDS.</w:t>
      </w:r>
    </w:p>
    <w:p w14:paraId="45AA2DEF" w14:textId="648BB4FA" w:rsidR="008C489D" w:rsidRDefault="008C489D" w:rsidP="008D6650">
      <w:pPr>
        <w:jc w:val="both"/>
      </w:pPr>
      <w:r>
        <w:t>Enfin, la Commission relève que l’INCa met à disposition sur son site internet une page dédiée aux données du cancer, dans laquelle figurent les résultats des évaluations réalisées dans le domaine de l’épidémiologie, la prévention et les facteurs de risque, le dépistage, la prise en charge, la recherche et l'innovation, et la vie avec le cancer (http://lesdonnees.e-cancer.fr).</w:t>
      </w:r>
    </w:p>
    <w:p w14:paraId="2CB10A7C" w14:textId="5EAAC837" w:rsidR="008C489D" w:rsidRDefault="008C489D" w:rsidP="008D6650">
      <w:pPr>
        <w:jc w:val="both"/>
      </w:pPr>
      <w:r>
        <w:t>Dans ces conditions, la Commission autorise, conformément à la présente délibération, l’INCa à mettre en œuvre les traitements décrits ci-dessus pendant une durée de six ans, à compter de la disponibilité effective des données au sein de la Plateforme de données en cancérologie, avec obligation de remise d’un bilan à la Commission à l’issue de ce délai.</w:t>
      </w:r>
    </w:p>
    <w:p w14:paraId="1EEBF6AA" w14:textId="77777777" w:rsidR="008C489D" w:rsidRDefault="008C489D" w:rsidP="008D6650">
      <w:pPr>
        <w:jc w:val="both"/>
      </w:pPr>
      <w:r>
        <w:t>La Commission rappelle que tout traitement ne remplissant pas les conditions prévues par la présente décision unique devra faire l’objet de formalités spécifiques auprès d’elle.</w:t>
      </w:r>
    </w:p>
    <w:p w14:paraId="5D629366" w14:textId="58CFC750" w:rsidR="008C489D" w:rsidRDefault="008C489D" w:rsidP="008D6650">
      <w:pPr>
        <w:jc w:val="both"/>
      </w:pPr>
      <w:r>
        <w:t>La décision DE-2011-058 autorisant l’INCa à mettre en œuvre un traitement de données de santé à caractère personnel ayant pour finalité de constituer des tableaux de bord et d’étudier la trajectoire des patients atteints d'un cancer à partir des données du SNIIRAM (demande d’autorisation n° 911297) est abrogée.</w:t>
      </w:r>
    </w:p>
    <w:p w14:paraId="29BDA060" w14:textId="77777777" w:rsidR="008C489D" w:rsidRDefault="008C489D" w:rsidP="008D6650">
      <w:pPr>
        <w:jc w:val="both"/>
      </w:pPr>
      <w:r>
        <w:t>La Présidente</w:t>
      </w:r>
    </w:p>
    <w:p w14:paraId="6ABE4110" w14:textId="77777777" w:rsidR="008C489D" w:rsidRDefault="008C489D" w:rsidP="008D6650">
      <w:pPr>
        <w:jc w:val="both"/>
      </w:pPr>
      <w:r>
        <w:t>Marie-Laure DENIS</w:t>
      </w:r>
    </w:p>
    <w:p w14:paraId="6229685A" w14:textId="074D678E" w:rsidR="00890987" w:rsidRDefault="00890987" w:rsidP="00903EBA">
      <w:pPr>
        <w:spacing w:after="0" w:line="240" w:lineRule="auto"/>
        <w:jc w:val="both"/>
      </w:pPr>
    </w:p>
    <w:p w14:paraId="5F1AA429" w14:textId="77777777" w:rsidR="00DA4183" w:rsidRDefault="00DA4183">
      <w:pPr>
        <w:spacing w:after="0" w:line="240" w:lineRule="auto"/>
        <w:rPr>
          <w:rFonts w:cs="Arial"/>
          <w:b/>
          <w:bCs/>
          <w:color w:val="0070C0"/>
          <w:spacing w:val="10"/>
        </w:rPr>
      </w:pPr>
      <w:bookmarkStart w:id="94" w:name="_Toc161759427"/>
      <w:r>
        <w:br w:type="page"/>
      </w:r>
    </w:p>
    <w:p w14:paraId="69953203" w14:textId="1543A4EC" w:rsidR="00920B11" w:rsidRPr="00F6165E" w:rsidRDefault="00920B11" w:rsidP="00DA4183">
      <w:pPr>
        <w:pStyle w:val="Titre3"/>
        <w:numPr>
          <w:ilvl w:val="0"/>
          <w:numId w:val="24"/>
        </w:numPr>
        <w:spacing w:before="0"/>
        <w:jc w:val="both"/>
      </w:pPr>
      <w:r w:rsidRPr="00F6165E">
        <w:t>Avis du Comité scientifique et éthique de la plateforme de données en cancérologie</w:t>
      </w:r>
      <w:bookmarkEnd w:id="94"/>
    </w:p>
    <w:p w14:paraId="1BAC9DD2" w14:textId="77777777" w:rsidR="00920B11" w:rsidRPr="008E2FE0" w:rsidRDefault="00920B11" w:rsidP="008D6650">
      <w:pPr>
        <w:jc w:val="both"/>
        <w:rPr>
          <w:rFonts w:ascii="Marianne" w:hAnsi="Marianne"/>
          <w:b/>
          <w:bCs/>
          <w:noProof/>
          <w:sz w:val="32"/>
          <w:szCs w:val="32"/>
        </w:rPr>
      </w:pPr>
      <w:r w:rsidRPr="006A1E45">
        <w:rPr>
          <w:rFonts w:ascii="Marianne" w:hAnsi="Marianne"/>
          <w:b/>
          <w:bCs/>
          <w:noProof/>
          <w:sz w:val="32"/>
          <w:szCs w:val="32"/>
        </w:rPr>
        <w:t>Comité Scientifique et Éthique</w:t>
      </w:r>
      <w:r w:rsidR="003E42CB">
        <w:rPr>
          <w:rFonts w:ascii="Marianne" w:hAnsi="Marianne"/>
          <w:b/>
          <w:bCs/>
          <w:noProof/>
          <w:sz w:val="32"/>
          <w:szCs w:val="32"/>
        </w:rPr>
        <w:t xml:space="preserve"> de la </w:t>
      </w:r>
      <w:r w:rsidRPr="006A1E45">
        <w:rPr>
          <w:rFonts w:ascii="Marianne" w:hAnsi="Marianne"/>
          <w:b/>
          <w:bCs/>
          <w:noProof/>
          <w:sz w:val="32"/>
          <w:szCs w:val="32"/>
        </w:rPr>
        <w:t>Plateforme de Données en Cancérologie</w:t>
      </w:r>
    </w:p>
    <w:p w14:paraId="482F3703" w14:textId="77777777" w:rsidR="00920B11" w:rsidRPr="006A1E45" w:rsidRDefault="00920B11" w:rsidP="008D6650">
      <w:pPr>
        <w:jc w:val="both"/>
        <w:rPr>
          <w:b/>
          <w:bCs/>
          <w:noProof/>
          <w:sz w:val="26"/>
          <w:szCs w:val="26"/>
        </w:rPr>
      </w:pPr>
      <w:r w:rsidRPr="006A1E45">
        <w:rPr>
          <w:b/>
          <w:bCs/>
          <w:noProof/>
          <w:sz w:val="26"/>
          <w:szCs w:val="26"/>
        </w:rPr>
        <w:t>Composition</w:t>
      </w:r>
    </w:p>
    <w:p w14:paraId="565E50FF" w14:textId="77777777" w:rsidR="00920B11" w:rsidRPr="006A1E45" w:rsidRDefault="00920B11" w:rsidP="00DA4183">
      <w:pPr>
        <w:numPr>
          <w:ilvl w:val="0"/>
          <w:numId w:val="7"/>
        </w:numPr>
        <w:spacing w:after="100" w:afterAutospacing="1"/>
        <w:jc w:val="both"/>
        <w:rPr>
          <w:noProof/>
        </w:rPr>
      </w:pPr>
      <w:r w:rsidRPr="00822B33">
        <w:rPr>
          <w:b/>
          <w:bCs/>
          <w:noProof/>
          <w:color w:val="4F81BD"/>
        </w:rPr>
        <w:t>Djadi-Prat Juliette</w:t>
      </w:r>
      <w:r w:rsidRPr="006A1E45">
        <w:rPr>
          <w:noProof/>
        </w:rPr>
        <w:t xml:space="preserve">, </w:t>
      </w:r>
      <w:r w:rsidRPr="006A1E45">
        <w:rPr>
          <w:i/>
          <w:iCs/>
          <w:noProof/>
        </w:rPr>
        <w:t>présidente du Comité</w:t>
      </w:r>
      <w:r w:rsidRPr="006A1E45">
        <w:rPr>
          <w:noProof/>
        </w:rPr>
        <w:t>, médecin de santé publique, responsable adjointe de l’unité de recherche clinique, Hôpital européen Georges Pompidou Paris</w:t>
      </w:r>
    </w:p>
    <w:p w14:paraId="7B56177B"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Poli Marie-Joséphine</w:t>
      </w:r>
      <w:r w:rsidRPr="006A1E45">
        <w:rPr>
          <w:noProof/>
        </w:rPr>
        <w:t xml:space="preserve">, </w:t>
      </w:r>
      <w:r w:rsidRPr="006A1E45">
        <w:rPr>
          <w:i/>
          <w:iCs/>
          <w:noProof/>
        </w:rPr>
        <w:t>vice-présidente du Comité</w:t>
      </w:r>
      <w:r w:rsidRPr="006A1E45">
        <w:rPr>
          <w:noProof/>
        </w:rPr>
        <w:t>, représentant des usagers, présidente régionale (Corse) de France-assos-santé</w:t>
      </w:r>
    </w:p>
    <w:p w14:paraId="30CFC983"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Bossi-Malafosse Jeanne</w:t>
      </w:r>
      <w:r w:rsidRPr="006A1E45">
        <w:rPr>
          <w:noProof/>
        </w:rPr>
        <w:t>, juriste, responsable du département « Données personnelles » et co-responsable du département « Sciences du vivant », Cabinet Delsol</w:t>
      </w:r>
    </w:p>
    <w:p w14:paraId="2E727BEF"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Delpuech Claude</w:t>
      </w:r>
      <w:r w:rsidRPr="006A1E45">
        <w:rPr>
          <w:noProof/>
        </w:rPr>
        <w:t>, docteur en science physique, membre du Comité consultatif national d’éthique (CCNE), responsable du Département magnétoencéphalographie du Centre d'Etude et de Recherche Multimodal Et Pluridisciplinaire en imagerie du vivant (CERMEP – imagerie du vivant)</w:t>
      </w:r>
    </w:p>
    <w:p w14:paraId="79095564"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Empereur Fabienne</w:t>
      </w:r>
      <w:r w:rsidRPr="006A1E45">
        <w:rPr>
          <w:noProof/>
        </w:rPr>
        <w:t>, médecin de santé publique, médecin coordonnateur du réseau ONCOPL (réseau régional de cancérologie des pays de la Loire)</w:t>
      </w:r>
    </w:p>
    <w:p w14:paraId="761DC7CC"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Franck Denis</w:t>
      </w:r>
      <w:r w:rsidRPr="006A1E45">
        <w:rPr>
          <w:noProof/>
        </w:rPr>
        <w:t>, onco-radiothérapeute, président de l’UNHPC (union nationale hospitalière de cancérologie), Clinique Pasteur Toulouse</w:t>
      </w:r>
    </w:p>
    <w:p w14:paraId="6F86E1A8"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Haguenoer Ken</w:t>
      </w:r>
      <w:r w:rsidRPr="006A1E45">
        <w:rPr>
          <w:noProof/>
        </w:rPr>
        <w:t>, médecin de santé publique, directeur médical du Centre régional de coordination des dépistages des cancers Centre-Val de Loire</w:t>
      </w:r>
    </w:p>
    <w:p w14:paraId="248BD04F"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Linda Pierre</w:t>
      </w:r>
      <w:r w:rsidRPr="006A1E45">
        <w:rPr>
          <w:noProof/>
        </w:rPr>
        <w:t>, otorhinolaryngologue, Hôpital Schuman Metz</w:t>
      </w:r>
    </w:p>
    <w:p w14:paraId="22C33E4B"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Martin Anne-Laure</w:t>
      </w:r>
      <w:r w:rsidRPr="006A1E45">
        <w:rPr>
          <w:noProof/>
        </w:rPr>
        <w:t xml:space="preserve">, pharmacienne, directrice </w:t>
      </w:r>
      <w:r>
        <w:rPr>
          <w:noProof/>
        </w:rPr>
        <w:t>Stratégie d</w:t>
      </w:r>
      <w:r w:rsidRPr="006A1E45">
        <w:rPr>
          <w:noProof/>
        </w:rPr>
        <w:t>ata Unicancer</w:t>
      </w:r>
    </w:p>
    <w:p w14:paraId="373983AF"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Ménegaux Florence</w:t>
      </w:r>
      <w:r w:rsidRPr="006A1E45">
        <w:rPr>
          <w:noProof/>
        </w:rPr>
        <w:t>, médecin de santé publique, Centre de recherche en Epidémiologie et Santé des Populations (CESP) – Inserm U1018</w:t>
      </w:r>
    </w:p>
    <w:p w14:paraId="347DB282" w14:textId="77777777" w:rsidR="00920B11" w:rsidRPr="003E42CB" w:rsidRDefault="00920B11" w:rsidP="00DA4183">
      <w:pPr>
        <w:numPr>
          <w:ilvl w:val="0"/>
          <w:numId w:val="7"/>
        </w:numPr>
        <w:spacing w:before="60" w:after="100" w:afterAutospacing="1"/>
        <w:ind w:left="714" w:hanging="357"/>
        <w:jc w:val="both"/>
        <w:rPr>
          <w:b/>
          <w:bCs/>
          <w:noProof/>
          <w:color w:val="4F81BD"/>
        </w:rPr>
      </w:pPr>
      <w:r w:rsidRPr="00822B33">
        <w:rPr>
          <w:b/>
          <w:bCs/>
          <w:noProof/>
          <w:color w:val="4F81BD"/>
        </w:rPr>
        <w:t>Molinié Florence</w:t>
      </w:r>
      <w:r w:rsidRPr="006A1E45">
        <w:rPr>
          <w:noProof/>
        </w:rPr>
        <w:t xml:space="preserve">, </w:t>
      </w:r>
      <w:r w:rsidRPr="009B21EA">
        <w:rPr>
          <w:noProof/>
        </w:rPr>
        <w:t xml:space="preserve">médecin de santé publique, directrice du registre des cancers de </w:t>
      </w:r>
      <w:r w:rsidRPr="009E4D83">
        <w:rPr>
          <w:bCs/>
          <w:noProof/>
        </w:rPr>
        <w:t>Loire-Atlantique/Vendée</w:t>
      </w:r>
    </w:p>
    <w:p w14:paraId="5535E836" w14:textId="77777777" w:rsidR="003E42CB" w:rsidRPr="003E42CB" w:rsidRDefault="003E42CB" w:rsidP="00DA4183">
      <w:pPr>
        <w:numPr>
          <w:ilvl w:val="0"/>
          <w:numId w:val="7"/>
        </w:numPr>
        <w:spacing w:before="60" w:after="100" w:afterAutospacing="1"/>
        <w:ind w:left="714" w:hanging="357"/>
        <w:jc w:val="both"/>
        <w:rPr>
          <w:b/>
          <w:bCs/>
          <w:noProof/>
          <w:color w:val="4F81BD"/>
        </w:rPr>
      </w:pPr>
      <w:r>
        <w:rPr>
          <w:b/>
          <w:bCs/>
          <w:noProof/>
          <w:color w:val="4F81BD"/>
        </w:rPr>
        <w:t>Quesnot St</w:t>
      </w:r>
      <w:r w:rsidRPr="003E42CB">
        <w:rPr>
          <w:b/>
          <w:bCs/>
          <w:noProof/>
          <w:color w:val="4F81BD"/>
        </w:rPr>
        <w:t xml:space="preserve">éphane, </w:t>
      </w:r>
      <w:bookmarkStart w:id="95" w:name="_Hlk121922385"/>
      <w:r w:rsidR="009B21EA">
        <w:rPr>
          <w:bCs/>
          <w:noProof/>
        </w:rPr>
        <w:t>m</w:t>
      </w:r>
      <w:r w:rsidRPr="009E4D83">
        <w:rPr>
          <w:bCs/>
          <w:noProof/>
        </w:rPr>
        <w:t>édecin directeur de l’information médicale, Direction de l’offre de soins - MGEN</w:t>
      </w:r>
    </w:p>
    <w:bookmarkEnd w:id="95"/>
    <w:p w14:paraId="101A484C"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Rachas Antoine</w:t>
      </w:r>
      <w:r w:rsidRPr="006A1E45">
        <w:rPr>
          <w:noProof/>
        </w:rPr>
        <w:t>, médecin de santé publique, Département des études sur les pathologies et les patients (DEPP) CNAM</w:t>
      </w:r>
    </w:p>
    <w:p w14:paraId="5B543591" w14:textId="77777777" w:rsidR="0076760F" w:rsidRPr="0076760F" w:rsidRDefault="0076760F" w:rsidP="00DA4183">
      <w:pPr>
        <w:numPr>
          <w:ilvl w:val="0"/>
          <w:numId w:val="7"/>
        </w:numPr>
        <w:spacing w:before="60" w:after="100" w:afterAutospacing="1"/>
        <w:ind w:left="714" w:hanging="357"/>
        <w:jc w:val="both"/>
        <w:rPr>
          <w:noProof/>
        </w:rPr>
      </w:pPr>
      <w:r w:rsidRPr="00731547">
        <w:rPr>
          <w:b/>
          <w:bCs/>
          <w:noProof/>
          <w:color w:val="4F81BD"/>
        </w:rPr>
        <w:t>Rouleau</w:t>
      </w:r>
      <w:r>
        <w:rPr>
          <w:noProof/>
        </w:rPr>
        <w:t xml:space="preserve"> </w:t>
      </w:r>
      <w:r w:rsidRPr="00731547">
        <w:rPr>
          <w:b/>
          <w:bCs/>
          <w:noProof/>
          <w:color w:val="4F81BD"/>
        </w:rPr>
        <w:t>Etienne</w:t>
      </w:r>
      <w:r>
        <w:rPr>
          <w:noProof/>
        </w:rPr>
        <w:t>, biologiste spécialisé en oncogénétique, chef du Service génétique des tumeurs – Institut Gustave Roussy</w:t>
      </w:r>
    </w:p>
    <w:p w14:paraId="4897F117"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Rousseau Agnès</w:t>
      </w:r>
      <w:r w:rsidRPr="006A1E45">
        <w:rPr>
          <w:noProof/>
        </w:rPr>
        <w:t>, secrétaire générale comité du Val d'Oise de la Ligue contre les cancers</w:t>
      </w:r>
    </w:p>
    <w:p w14:paraId="0808CB09" w14:textId="77777777" w:rsidR="00920B11" w:rsidRPr="006A1E45" w:rsidRDefault="00920B11" w:rsidP="00DA4183">
      <w:pPr>
        <w:numPr>
          <w:ilvl w:val="0"/>
          <w:numId w:val="7"/>
        </w:numPr>
        <w:spacing w:before="60" w:after="100" w:afterAutospacing="1"/>
        <w:ind w:left="714" w:hanging="357"/>
        <w:jc w:val="both"/>
        <w:rPr>
          <w:noProof/>
        </w:rPr>
      </w:pPr>
      <w:r w:rsidRPr="00822B33">
        <w:rPr>
          <w:b/>
          <w:bCs/>
          <w:noProof/>
          <w:color w:val="4F81BD"/>
        </w:rPr>
        <w:t>Troussard Xavier</w:t>
      </w:r>
      <w:r w:rsidRPr="006A1E45">
        <w:rPr>
          <w:noProof/>
        </w:rPr>
        <w:t>, hématologue, président de la FHF Cancer, directeur du Registre des hémopathies malignes de Basse Normandie, Centre hospitalo-universitaire de Caen</w:t>
      </w:r>
    </w:p>
    <w:p w14:paraId="5461DD47" w14:textId="710300F9" w:rsidR="00920B11" w:rsidRPr="006A1E45" w:rsidRDefault="00920B11" w:rsidP="00DA4183">
      <w:pPr>
        <w:numPr>
          <w:ilvl w:val="0"/>
          <w:numId w:val="7"/>
        </w:numPr>
        <w:spacing w:after="100" w:afterAutospacing="1"/>
        <w:ind w:left="714" w:hanging="357"/>
        <w:jc w:val="both"/>
        <w:rPr>
          <w:noProof/>
        </w:rPr>
      </w:pPr>
      <w:r w:rsidRPr="0076760F">
        <w:rPr>
          <w:b/>
          <w:bCs/>
          <w:noProof/>
          <w:color w:val="4F81BD"/>
        </w:rPr>
        <w:t>Villata Séréna</w:t>
      </w:r>
      <w:r w:rsidRPr="006A1E45">
        <w:rPr>
          <w:noProof/>
        </w:rPr>
        <w:t>, docteur en science informatique, directrice scientifique adjointe Laboratoire d'informatique, signaux et systèmes (I3S) Sophia Antipolis</w:t>
      </w:r>
    </w:p>
    <w:p w14:paraId="4972D1CC" w14:textId="77777777" w:rsidR="00920B11" w:rsidRPr="00AC72B0" w:rsidRDefault="00920B11" w:rsidP="008D6650">
      <w:pPr>
        <w:jc w:val="both"/>
        <w:rPr>
          <w:b/>
          <w:bCs/>
          <w:noProof/>
          <w:sz w:val="26"/>
          <w:szCs w:val="26"/>
        </w:rPr>
      </w:pPr>
      <w:r w:rsidRPr="00AC72B0">
        <w:rPr>
          <w:b/>
          <w:bCs/>
          <w:noProof/>
          <w:sz w:val="26"/>
          <w:szCs w:val="26"/>
        </w:rPr>
        <w:t>Avis</w:t>
      </w:r>
    </w:p>
    <w:p w14:paraId="54E75341" w14:textId="77777777" w:rsidR="00920B11" w:rsidRPr="006A1E45" w:rsidRDefault="00920B11" w:rsidP="008D6650">
      <w:pPr>
        <w:jc w:val="both"/>
        <w:rPr>
          <w:noProof/>
        </w:rPr>
      </w:pPr>
      <w:r w:rsidRPr="006A1E45">
        <w:rPr>
          <w:noProof/>
        </w:rPr>
        <w:t>Quatre types d’avis sont émis par le Comité scientifique et éthique</w:t>
      </w:r>
      <w:r w:rsidRPr="006A1E45">
        <w:rPr>
          <w:rFonts w:ascii="Cambria" w:hAnsi="Cambria" w:cs="Cambria"/>
          <w:noProof/>
        </w:rPr>
        <w:t> </w:t>
      </w:r>
      <w:r w:rsidRPr="006A1E45">
        <w:rPr>
          <w:noProof/>
        </w:rPr>
        <w:t>:</w:t>
      </w:r>
    </w:p>
    <w:p w14:paraId="4971BDC7" w14:textId="77777777" w:rsidR="00920B11" w:rsidRPr="008035C5" w:rsidRDefault="00920B11" w:rsidP="008D6650">
      <w:pPr>
        <w:spacing w:after="120"/>
        <w:jc w:val="both"/>
        <w:rPr>
          <w:i/>
          <w:iCs/>
          <w:noProof/>
        </w:rPr>
      </w:pPr>
      <w:r w:rsidRPr="007E490C">
        <w:rPr>
          <w:rFonts w:ascii="MS Gothic" w:eastAsia="MS Gothic" w:hAnsi="MS Gothic" w:hint="eastAsia"/>
          <w:b/>
        </w:rPr>
        <w:t>☐</w:t>
      </w:r>
      <w:r w:rsidRPr="00D51CED">
        <w:rPr>
          <w:noProof/>
        </w:rPr>
        <w:t xml:space="preserve"> Avis favorable</w:t>
      </w:r>
      <w:r w:rsidRPr="006A1E45">
        <w:rPr>
          <w:noProof/>
        </w:rPr>
        <w:t xml:space="preserve"> </w:t>
      </w:r>
      <w:r w:rsidRPr="00822B33">
        <w:rPr>
          <w:i/>
          <w:iCs/>
          <w:noProof/>
          <w:color w:val="4F81BD"/>
        </w:rPr>
        <w:t>Le projet est validé par le Comité tel que proposé</w:t>
      </w:r>
    </w:p>
    <w:p w14:paraId="2B8A5AFA" w14:textId="77777777" w:rsidR="00920B11" w:rsidRPr="008035C5" w:rsidRDefault="00920B11" w:rsidP="008D6650">
      <w:pPr>
        <w:spacing w:after="120"/>
        <w:jc w:val="both"/>
        <w:rPr>
          <w:i/>
          <w:iCs/>
          <w:noProof/>
        </w:rPr>
      </w:pPr>
      <w:r>
        <w:rPr>
          <w:rFonts w:ascii="MS Gothic" w:eastAsia="MS Gothic" w:hAnsi="MS Gothic" w:hint="eastAsia"/>
          <w:b/>
        </w:rPr>
        <w:t>☐</w:t>
      </w:r>
      <w:r w:rsidRPr="00D51CED">
        <w:rPr>
          <w:noProof/>
        </w:rPr>
        <w:t xml:space="preserve"> Avis favorable sous conditions : les réponses aux remarques permettront de délivrer un avis favorable</w:t>
      </w:r>
      <w:r w:rsidRPr="006A1E45">
        <w:rPr>
          <w:noProof/>
        </w:rPr>
        <w:t xml:space="preserve"> </w:t>
      </w:r>
      <w:r w:rsidRPr="00822B33">
        <w:rPr>
          <w:i/>
          <w:iCs/>
          <w:noProof/>
          <w:color w:val="4F81BD"/>
        </w:rPr>
        <w:t>Le projet est validé par le Comité, quelques points peuvent être éclaircis. Les réponses à ces points ne nécessitent pas un nouveau passage du projet en séance</w:t>
      </w:r>
    </w:p>
    <w:p w14:paraId="75D100EF" w14:textId="77777777" w:rsidR="00920B11" w:rsidRPr="008035C5" w:rsidRDefault="00920B11" w:rsidP="008D6650">
      <w:pPr>
        <w:spacing w:after="120"/>
        <w:jc w:val="both"/>
        <w:rPr>
          <w:i/>
          <w:iCs/>
          <w:noProof/>
        </w:rPr>
      </w:pPr>
      <w:r w:rsidRPr="007E490C">
        <w:rPr>
          <w:rFonts w:ascii="MS Gothic" w:eastAsia="MS Gothic" w:hAnsi="MS Gothic" w:hint="eastAsia"/>
          <w:b/>
        </w:rPr>
        <w:t>☐</w:t>
      </w:r>
      <w:r w:rsidRPr="00D51CED">
        <w:rPr>
          <w:noProof/>
        </w:rPr>
        <w:t xml:space="preserve"> Avis réservé : le dossier sera revu en commission après réponses aux réserves</w:t>
      </w:r>
      <w:r w:rsidRPr="006A1E45">
        <w:rPr>
          <w:noProof/>
        </w:rPr>
        <w:t xml:space="preserve"> </w:t>
      </w:r>
      <w:r w:rsidRPr="00822B33">
        <w:rPr>
          <w:i/>
          <w:iCs/>
          <w:noProof/>
          <w:color w:val="4F81BD"/>
        </w:rPr>
        <w:t>Le projet doit être étayé et repasser en séance</w:t>
      </w:r>
    </w:p>
    <w:p w14:paraId="6E1DC20A" w14:textId="77777777" w:rsidR="00920B11" w:rsidRPr="006A1E45" w:rsidRDefault="00920B11" w:rsidP="008D6650">
      <w:pPr>
        <w:jc w:val="both"/>
        <w:rPr>
          <w:i/>
          <w:iCs/>
          <w:noProof/>
        </w:rPr>
      </w:pPr>
      <w:r w:rsidRPr="006A1E45">
        <w:rPr>
          <w:rFonts w:ascii="MS Gothic" w:eastAsia="MS Gothic" w:hAnsi="MS Gothic" w:hint="eastAsia"/>
          <w:b/>
        </w:rPr>
        <w:t>☐</w:t>
      </w:r>
      <w:r w:rsidRPr="00D51CED">
        <w:rPr>
          <w:noProof/>
        </w:rPr>
        <w:t xml:space="preserve"> Avis défavorable</w:t>
      </w:r>
      <w:r w:rsidRPr="006A1E45">
        <w:rPr>
          <w:noProof/>
        </w:rPr>
        <w:t xml:space="preserve"> </w:t>
      </w:r>
      <w:r w:rsidRPr="00822B33">
        <w:rPr>
          <w:i/>
          <w:iCs/>
          <w:noProof/>
          <w:color w:val="4F81BD"/>
        </w:rPr>
        <w:t>Le projet ne peut être conduit dans sa forme actuelle (présence d’éléments bloquants). Si les porteurs veulent poursuivre le projet, ils doivent recommencer l’ensemble du processus de soumission.</w:t>
      </w:r>
    </w:p>
    <w:p w14:paraId="06A9E529" w14:textId="77777777" w:rsidR="00920B11" w:rsidRPr="006A1E45" w:rsidRDefault="00920B11" w:rsidP="008D6650">
      <w:pPr>
        <w:jc w:val="both"/>
      </w:pPr>
    </w:p>
    <w:p w14:paraId="3EC8FC2F" w14:textId="77777777" w:rsidR="00920B11" w:rsidRPr="006A1E45" w:rsidRDefault="00920B11" w:rsidP="008D6650">
      <w:pPr>
        <w:jc w:val="both"/>
      </w:pPr>
      <w:r w:rsidRPr="006A1E45">
        <w:t>L’évaluation du projet par le Comité scientifique et éthique porte notamment sur</w:t>
      </w:r>
      <w:r w:rsidRPr="006A1E45">
        <w:rPr>
          <w:rFonts w:ascii="Cambria" w:hAnsi="Cambria" w:cs="Cambria"/>
        </w:rPr>
        <w:t> </w:t>
      </w:r>
      <w:r w:rsidRPr="006A1E45">
        <w:t>:</w:t>
      </w:r>
    </w:p>
    <w:p w14:paraId="3F7F69F2" w14:textId="77777777" w:rsidR="00920B11" w:rsidRDefault="00920B11" w:rsidP="00DA4183">
      <w:pPr>
        <w:numPr>
          <w:ilvl w:val="0"/>
          <w:numId w:val="6"/>
        </w:numPr>
        <w:jc w:val="both"/>
      </w:pPr>
      <w:r>
        <w:t>Le plan éthique</w:t>
      </w:r>
    </w:p>
    <w:p w14:paraId="16103EB6" w14:textId="77777777" w:rsidR="00920B11" w:rsidRDefault="00920B11" w:rsidP="00DA4183">
      <w:pPr>
        <w:numPr>
          <w:ilvl w:val="0"/>
          <w:numId w:val="6"/>
        </w:numPr>
        <w:jc w:val="both"/>
      </w:pPr>
      <w:r>
        <w:t>L’information des personnes</w:t>
      </w:r>
    </w:p>
    <w:p w14:paraId="08427EC6" w14:textId="77777777" w:rsidR="00920B11" w:rsidRDefault="00920B11" w:rsidP="00DA4183">
      <w:pPr>
        <w:numPr>
          <w:ilvl w:val="0"/>
          <w:numId w:val="6"/>
        </w:numPr>
        <w:jc w:val="both"/>
      </w:pPr>
      <w:r>
        <w:t>Le plan scientifique et méthodologique</w:t>
      </w:r>
    </w:p>
    <w:p w14:paraId="7A061D4F" w14:textId="77777777" w:rsidR="00920B11" w:rsidRPr="006A1E45" w:rsidRDefault="00920B11" w:rsidP="008D6650">
      <w:pPr>
        <w:jc w:val="both"/>
      </w:pPr>
      <w:r w:rsidRPr="006A1E45">
        <w:t>Des remarques peuvent compléter l’avis et sont apportées à titre indicatif par le Comité.</w:t>
      </w:r>
    </w:p>
    <w:p w14:paraId="579F666B" w14:textId="77777777" w:rsidR="00890987" w:rsidRDefault="00890987" w:rsidP="008D6650">
      <w:pPr>
        <w:jc w:val="both"/>
      </w:pPr>
    </w:p>
    <w:bookmarkEnd w:id="11"/>
    <w:bookmarkEnd w:id="12"/>
    <w:bookmarkEnd w:id="13"/>
    <w:bookmarkEnd w:id="14"/>
    <w:bookmarkEnd w:id="15"/>
    <w:bookmarkEnd w:id="16"/>
    <w:bookmarkEnd w:id="17"/>
    <w:bookmarkEnd w:id="75"/>
    <w:p w14:paraId="1929077E" w14:textId="77777777" w:rsidR="00C97DFB" w:rsidRPr="00C97DFB" w:rsidRDefault="00C97DFB" w:rsidP="008D6650">
      <w:pPr>
        <w:jc w:val="both"/>
      </w:pPr>
    </w:p>
    <w:sectPr w:rsidR="00C97DFB" w:rsidRPr="00C97DFB" w:rsidSect="00517B1C">
      <w:headerReference w:type="even" r:id="rId41"/>
      <w:footerReference w:type="even" r:id="rId42"/>
      <w:footerReference w:type="default" r:id="rId43"/>
      <w:footerReference w:type="first" r:id="rId44"/>
      <w:type w:val="continuous"/>
      <w:pgSz w:w="11906" w:h="16838" w:code="9"/>
      <w:pgMar w:top="1417" w:right="1417" w:bottom="1417" w:left="1417" w:header="709" w:footer="44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7CCD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7CCD13" w16cid:durableId="6ED01E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77A74" w14:textId="77777777" w:rsidR="006831B2" w:rsidRDefault="006831B2" w:rsidP="00C944D6">
      <w:r>
        <w:separator/>
      </w:r>
    </w:p>
    <w:p w14:paraId="69917D58" w14:textId="77777777" w:rsidR="006831B2" w:rsidRDefault="006831B2"/>
  </w:endnote>
  <w:endnote w:type="continuationSeparator" w:id="0">
    <w:p w14:paraId="63248238" w14:textId="77777777" w:rsidR="006831B2" w:rsidRDefault="006831B2" w:rsidP="00C944D6">
      <w:r>
        <w:continuationSeparator/>
      </w:r>
    </w:p>
    <w:p w14:paraId="0AA48C7E" w14:textId="77777777" w:rsidR="006831B2" w:rsidRDefault="0068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C13AF" w14:textId="77777777" w:rsidR="00AB530C" w:rsidRPr="0012428C" w:rsidRDefault="00AB530C" w:rsidP="00AB530C">
    <w:pPr>
      <w:pStyle w:val="Pieddepage"/>
      <w:tabs>
        <w:tab w:val="clear" w:pos="9072"/>
      </w:tabs>
      <w:ind w:right="-1"/>
      <w:jc w:val="right"/>
      <w:rPr>
        <w:sz w:val="18"/>
        <w:szCs w:val="18"/>
      </w:rPr>
    </w:pPr>
    <w:r>
      <w:rPr>
        <w:color w:val="660066"/>
        <w:sz w:val="18"/>
        <w:szCs w:val="18"/>
      </w:rPr>
      <w:t>TITRE COURT</w:t>
    </w:r>
    <w:r w:rsidRPr="0012428C">
      <w:rPr>
        <w:color w:val="660066"/>
        <w:sz w:val="18"/>
        <w:szCs w:val="18"/>
      </w:rPr>
      <w:t xml:space="preserve"> </w:t>
    </w:r>
    <w:r w:rsidRPr="0012428C">
      <w:rPr>
        <w:b/>
        <w:bCs/>
        <w:color w:val="660066"/>
        <w:sz w:val="18"/>
        <w:szCs w:val="18"/>
      </w:rPr>
      <w:t>|</w:t>
    </w:r>
    <w:r w:rsidRPr="0012428C">
      <w:rPr>
        <w:b/>
        <w:bCs/>
        <w:color w:val="FF0000"/>
        <w:sz w:val="18"/>
        <w:szCs w:val="18"/>
      </w:rPr>
      <w:t xml:space="preserve"> </w:t>
    </w:r>
    <w:r w:rsidRPr="0012428C">
      <w:rPr>
        <w:b/>
        <w:bCs/>
        <w:sz w:val="18"/>
        <w:szCs w:val="18"/>
      </w:rPr>
      <w:fldChar w:fldCharType="begin"/>
    </w:r>
    <w:r w:rsidRPr="0012428C">
      <w:rPr>
        <w:b/>
        <w:bCs/>
        <w:sz w:val="18"/>
        <w:szCs w:val="18"/>
      </w:rPr>
      <w:instrText xml:space="preserve"> PAGE   \* MERGEFORMAT </w:instrText>
    </w:r>
    <w:r w:rsidRPr="0012428C">
      <w:rPr>
        <w:b/>
        <w:bCs/>
        <w:sz w:val="18"/>
        <w:szCs w:val="18"/>
      </w:rPr>
      <w:fldChar w:fldCharType="separate"/>
    </w:r>
    <w:r w:rsidR="00375E9F">
      <w:rPr>
        <w:b/>
        <w:bCs/>
        <w:noProof/>
        <w:sz w:val="18"/>
        <w:szCs w:val="18"/>
      </w:rPr>
      <w:t>44</w:t>
    </w:r>
    <w:r w:rsidRPr="0012428C">
      <w:rPr>
        <w:b/>
        <w:bCs/>
        <w:sz w:val="18"/>
        <w:szCs w:val="18"/>
      </w:rPr>
      <w:fldChar w:fldCharType="end"/>
    </w:r>
    <w:r w:rsidRPr="0012428C">
      <w:rPr>
        <w:b/>
        <w:bCs/>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D592E" w14:textId="77777777" w:rsidR="006831B2" w:rsidRPr="0012428C" w:rsidRDefault="006831B2" w:rsidP="00C97DFB">
    <w:pPr>
      <w:pStyle w:val="Pieddepage"/>
      <w:tabs>
        <w:tab w:val="clear" w:pos="9072"/>
      </w:tabs>
      <w:ind w:right="-1"/>
      <w:jc w:val="right"/>
      <w:rPr>
        <w:sz w:val="18"/>
        <w:szCs w:val="18"/>
      </w:rPr>
    </w:pPr>
    <w:r>
      <w:rPr>
        <w:color w:val="660066"/>
        <w:sz w:val="18"/>
        <w:szCs w:val="18"/>
      </w:rPr>
      <w:t>TITRE COURT</w:t>
    </w:r>
    <w:r w:rsidRPr="0012428C">
      <w:rPr>
        <w:color w:val="660066"/>
        <w:sz w:val="18"/>
        <w:szCs w:val="18"/>
      </w:rPr>
      <w:t xml:space="preserve"> </w:t>
    </w:r>
    <w:r w:rsidRPr="0012428C">
      <w:rPr>
        <w:b/>
        <w:bCs/>
        <w:color w:val="660066"/>
        <w:sz w:val="18"/>
        <w:szCs w:val="18"/>
      </w:rPr>
      <w:t>|</w:t>
    </w:r>
    <w:r w:rsidRPr="0012428C">
      <w:rPr>
        <w:b/>
        <w:bCs/>
        <w:color w:val="FF0000"/>
        <w:sz w:val="18"/>
        <w:szCs w:val="18"/>
      </w:rPr>
      <w:t xml:space="preserve"> </w:t>
    </w:r>
    <w:r w:rsidRPr="0012428C">
      <w:rPr>
        <w:b/>
        <w:bCs/>
        <w:sz w:val="18"/>
        <w:szCs w:val="18"/>
      </w:rPr>
      <w:fldChar w:fldCharType="begin"/>
    </w:r>
    <w:r w:rsidRPr="0012428C">
      <w:rPr>
        <w:b/>
        <w:bCs/>
        <w:sz w:val="18"/>
        <w:szCs w:val="18"/>
      </w:rPr>
      <w:instrText xml:space="preserve"> PAGE   \* MERGEFORMAT </w:instrText>
    </w:r>
    <w:r w:rsidRPr="0012428C">
      <w:rPr>
        <w:b/>
        <w:bCs/>
        <w:sz w:val="18"/>
        <w:szCs w:val="18"/>
      </w:rPr>
      <w:fldChar w:fldCharType="separate"/>
    </w:r>
    <w:r w:rsidR="00375E9F">
      <w:rPr>
        <w:b/>
        <w:bCs/>
        <w:noProof/>
        <w:sz w:val="18"/>
        <w:szCs w:val="18"/>
      </w:rPr>
      <w:t>45</w:t>
    </w:r>
    <w:r w:rsidRPr="0012428C">
      <w:rPr>
        <w:b/>
        <w:bCs/>
        <w:sz w:val="18"/>
        <w:szCs w:val="18"/>
      </w:rPr>
      <w:fldChar w:fldCharType="end"/>
    </w:r>
    <w:r w:rsidRPr="0012428C">
      <w:rPr>
        <w:b/>
        <w:bCs/>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F31F" w14:textId="66E0CFB9" w:rsidR="007D5BDC" w:rsidRDefault="007D5BDC">
    <w:pPr>
      <w:pStyle w:val="Pieddepage"/>
    </w:pPr>
    <w:r>
      <w:t>Trame de protocole  - version du 19/02/2025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81C65" w14:textId="77777777" w:rsidR="006831B2" w:rsidRDefault="006831B2">
      <w:r>
        <w:separator/>
      </w:r>
    </w:p>
  </w:footnote>
  <w:footnote w:type="continuationSeparator" w:id="0">
    <w:p w14:paraId="133DB6D5" w14:textId="77777777" w:rsidR="006831B2" w:rsidRDefault="006831B2" w:rsidP="00C944D6">
      <w:r>
        <w:continuationSeparator/>
      </w:r>
    </w:p>
    <w:p w14:paraId="419BBC8B" w14:textId="77777777" w:rsidR="006831B2" w:rsidRDefault="006831B2"/>
  </w:footnote>
  <w:footnote w:id="1">
    <w:p w14:paraId="65E341BA" w14:textId="77777777" w:rsidR="006831B2" w:rsidRDefault="006831B2" w:rsidP="00AD64C8">
      <w:pPr>
        <w:pStyle w:val="Notedebasdepage"/>
      </w:pPr>
      <w:r>
        <w:rPr>
          <w:rStyle w:val="Appelnotedebasdep"/>
        </w:rPr>
        <w:footnoteRef/>
      </w:r>
      <w:r>
        <w:t xml:space="preserve"> Le promoteur est le responsable de traitement</w:t>
      </w:r>
      <w:r>
        <w:rPr>
          <w:rFonts w:ascii="Calibri" w:hAnsi="Calibri" w:cs="Calibri"/>
        </w:rPr>
        <w:t> </w:t>
      </w:r>
      <w:r>
        <w:t>: à adapter</w:t>
      </w:r>
    </w:p>
  </w:footnote>
  <w:footnote w:id="2">
    <w:p w14:paraId="5A5D7C8C" w14:textId="77777777" w:rsidR="006831B2" w:rsidRDefault="006831B2" w:rsidP="00AD64C8">
      <w:pPr>
        <w:pStyle w:val="Notedebasdepage"/>
      </w:pPr>
      <w:r>
        <w:rPr>
          <w:rStyle w:val="Appelnotedebasdep"/>
        </w:rPr>
        <w:footnoteRef/>
      </w:r>
      <w:r>
        <w:t xml:space="preserve"> Chargé de la mise en œuvre des traitements</w:t>
      </w:r>
      <w:r>
        <w:rPr>
          <w:rFonts w:ascii="Calibri" w:hAnsi="Calibri" w:cs="Calibri"/>
        </w:rPr>
        <w:t> </w:t>
      </w:r>
      <w:r>
        <w:t>: à adapter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09BC5" w14:textId="1A35D51A" w:rsidR="006831B2" w:rsidRPr="008C489D" w:rsidRDefault="006831B2" w:rsidP="008C489D">
    <w:pPr>
      <w:pStyle w:val="En-tte"/>
      <w:tabs>
        <w:tab w:val="clear" w:pos="4536"/>
        <w:tab w:val="left" w:pos="1560"/>
      </w:tabs>
      <w:ind w:right="-25"/>
      <w:rPr>
        <w:rFonts w:cs="Arial"/>
      </w:rPr>
    </w:pPr>
    <w:r>
      <w:rPr>
        <w:rFonts w:cs="Arial"/>
      </w:rPr>
      <w:tab/>
    </w:r>
    <w:r>
      <w:rPr>
        <w:rFonts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26A"/>
    <w:multiLevelType w:val="hybridMultilevel"/>
    <w:tmpl w:val="7D406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2588B"/>
    <w:multiLevelType w:val="multilevel"/>
    <w:tmpl w:val="2BD6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45D40"/>
    <w:multiLevelType w:val="multilevel"/>
    <w:tmpl w:val="B9DA8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D77918"/>
    <w:multiLevelType w:val="hybridMultilevel"/>
    <w:tmpl w:val="AB263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A558FF"/>
    <w:multiLevelType w:val="hybridMultilevel"/>
    <w:tmpl w:val="E654E6E6"/>
    <w:lvl w:ilvl="0" w:tplc="ABF4281A">
      <w:start w:val="1"/>
      <w:numFmt w:val="bullet"/>
      <w:lvlText w:val=""/>
      <w:lvlJc w:val="left"/>
      <w:pPr>
        <w:ind w:left="720" w:hanging="360"/>
      </w:pPr>
      <w:rPr>
        <w:rFonts w:ascii="Symbol" w:hAnsi="Symbol" w:hint="default"/>
      </w:rPr>
    </w:lvl>
    <w:lvl w:ilvl="1" w:tplc="E9A27CA0">
      <w:start w:val="1"/>
      <w:numFmt w:val="bullet"/>
      <w:lvlText w:val="o"/>
      <w:lvlJc w:val="left"/>
      <w:pPr>
        <w:ind w:left="1440" w:hanging="360"/>
      </w:pPr>
      <w:rPr>
        <w:rFonts w:ascii="Courier New" w:hAnsi="Courier New" w:cs="Courier New" w:hint="default"/>
      </w:rPr>
    </w:lvl>
    <w:lvl w:ilvl="2" w:tplc="8C52C808">
      <w:start w:val="1"/>
      <w:numFmt w:val="bullet"/>
      <w:lvlText w:val=""/>
      <w:lvlJc w:val="left"/>
      <w:pPr>
        <w:ind w:left="2160" w:hanging="360"/>
      </w:pPr>
      <w:rPr>
        <w:rFonts w:ascii="Wingdings" w:hAnsi="Wingdings" w:hint="default"/>
      </w:rPr>
    </w:lvl>
    <w:lvl w:ilvl="3" w:tplc="72E8A264">
      <w:start w:val="1"/>
      <w:numFmt w:val="bullet"/>
      <w:lvlText w:val=""/>
      <w:lvlJc w:val="left"/>
      <w:pPr>
        <w:ind w:left="2880" w:hanging="360"/>
      </w:pPr>
      <w:rPr>
        <w:rFonts w:ascii="Symbol" w:hAnsi="Symbol" w:hint="default"/>
      </w:rPr>
    </w:lvl>
    <w:lvl w:ilvl="4" w:tplc="811469BC">
      <w:start w:val="1"/>
      <w:numFmt w:val="bullet"/>
      <w:lvlText w:val="o"/>
      <w:lvlJc w:val="left"/>
      <w:pPr>
        <w:ind w:left="3600" w:hanging="360"/>
      </w:pPr>
      <w:rPr>
        <w:rFonts w:ascii="Courier New" w:hAnsi="Courier New" w:cs="Courier New" w:hint="default"/>
      </w:rPr>
    </w:lvl>
    <w:lvl w:ilvl="5" w:tplc="EBFE256E">
      <w:start w:val="1"/>
      <w:numFmt w:val="bullet"/>
      <w:lvlText w:val=""/>
      <w:lvlJc w:val="left"/>
      <w:pPr>
        <w:ind w:left="4320" w:hanging="360"/>
      </w:pPr>
      <w:rPr>
        <w:rFonts w:ascii="Wingdings" w:hAnsi="Wingdings" w:hint="default"/>
      </w:rPr>
    </w:lvl>
    <w:lvl w:ilvl="6" w:tplc="74E02D50">
      <w:start w:val="1"/>
      <w:numFmt w:val="bullet"/>
      <w:lvlText w:val=""/>
      <w:lvlJc w:val="left"/>
      <w:pPr>
        <w:ind w:left="5040" w:hanging="360"/>
      </w:pPr>
      <w:rPr>
        <w:rFonts w:ascii="Symbol" w:hAnsi="Symbol" w:hint="default"/>
      </w:rPr>
    </w:lvl>
    <w:lvl w:ilvl="7" w:tplc="B3322674">
      <w:start w:val="1"/>
      <w:numFmt w:val="bullet"/>
      <w:lvlText w:val="o"/>
      <w:lvlJc w:val="left"/>
      <w:pPr>
        <w:ind w:left="5760" w:hanging="360"/>
      </w:pPr>
      <w:rPr>
        <w:rFonts w:ascii="Courier New" w:hAnsi="Courier New" w:cs="Courier New" w:hint="default"/>
      </w:rPr>
    </w:lvl>
    <w:lvl w:ilvl="8" w:tplc="A9ACA020">
      <w:start w:val="1"/>
      <w:numFmt w:val="bullet"/>
      <w:lvlText w:val=""/>
      <w:lvlJc w:val="left"/>
      <w:pPr>
        <w:ind w:left="6480" w:hanging="360"/>
      </w:pPr>
      <w:rPr>
        <w:rFonts w:ascii="Wingdings" w:hAnsi="Wingdings" w:hint="default"/>
      </w:rPr>
    </w:lvl>
  </w:abstractNum>
  <w:abstractNum w:abstractNumId="5">
    <w:nsid w:val="115A4A69"/>
    <w:multiLevelType w:val="hybridMultilevel"/>
    <w:tmpl w:val="173E1A82"/>
    <w:lvl w:ilvl="0" w:tplc="3126F7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D70634"/>
    <w:multiLevelType w:val="hybridMultilevel"/>
    <w:tmpl w:val="3760AC90"/>
    <w:lvl w:ilvl="0" w:tplc="E1B447DC">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08626D"/>
    <w:multiLevelType w:val="hybridMultilevel"/>
    <w:tmpl w:val="7FBA6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9C0760"/>
    <w:multiLevelType w:val="multilevel"/>
    <w:tmpl w:val="7F042390"/>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2703" w:hanging="576"/>
      </w:pPr>
      <w:rPr>
        <w:rFonts w:hint="default"/>
      </w:rPr>
    </w:lvl>
    <w:lvl w:ilvl="2">
      <w:start w:val="1"/>
      <w:numFmt w:val="decimal"/>
      <w:pStyle w:val="Titre3"/>
      <w:suff w:val="space"/>
      <w:lvlText w:val="%1.%2.%3"/>
      <w:lvlJc w:val="left"/>
      <w:pPr>
        <w:ind w:left="1440" w:hanging="720"/>
      </w:pPr>
      <w:rPr>
        <w:rFonts w:ascii="Marianne Light" w:hAnsi="Marianne Light" w:hint="default"/>
        <w:b/>
        <w:bCs w:val="0"/>
        <w:i w:val="0"/>
        <w:iCs w:val="0"/>
        <w:caps w:val="0"/>
        <w:smallCaps w:val="0"/>
        <w:strike w:val="0"/>
        <w:dstrike w:val="0"/>
        <w:noProof w:val="0"/>
        <w:vanish w:val="0"/>
        <w:color w:val="0070C0"/>
        <w:spacing w:val="0"/>
        <w:kern w:val="0"/>
        <w:position w:val="0"/>
        <w:u w:val="none"/>
        <w:vertAlign w:val="baseline"/>
        <w:em w:val="none"/>
      </w:rPr>
    </w:lvl>
    <w:lvl w:ilvl="3">
      <w:start w:val="1"/>
      <w:numFmt w:val="decimal"/>
      <w:lvlText w:val="%1.%2.%3.%4"/>
      <w:lvlJc w:val="left"/>
      <w:pPr>
        <w:ind w:left="1584" w:hanging="864"/>
      </w:pPr>
      <w:rPr>
        <w:rFonts w:hint="default"/>
      </w:rPr>
    </w:lvl>
    <w:lvl w:ilvl="4">
      <w:start w:val="1"/>
      <w:numFmt w:val="decimal"/>
      <w:pStyle w:val="Titre5"/>
      <w:lvlText w:val="%1.%2.%3.%4.%5"/>
      <w:lvlJc w:val="left"/>
      <w:pPr>
        <w:ind w:left="1728" w:hanging="1008"/>
      </w:pPr>
      <w:rPr>
        <w:rFonts w:hint="default"/>
      </w:rPr>
    </w:lvl>
    <w:lvl w:ilvl="5">
      <w:start w:val="1"/>
      <w:numFmt w:val="decimal"/>
      <w:pStyle w:val="Titre6"/>
      <w:lvlText w:val="%1.%2.%3.%4.%5.%6"/>
      <w:lvlJc w:val="left"/>
      <w:pPr>
        <w:ind w:left="1872" w:hanging="1152"/>
      </w:pPr>
      <w:rPr>
        <w:rFonts w:hint="default"/>
      </w:rPr>
    </w:lvl>
    <w:lvl w:ilvl="6">
      <w:start w:val="1"/>
      <w:numFmt w:val="decimal"/>
      <w:pStyle w:val="Titre7"/>
      <w:lvlText w:val="%1.%2.%3.%4.%5.%6.%7"/>
      <w:lvlJc w:val="left"/>
      <w:pPr>
        <w:ind w:left="2016" w:hanging="1296"/>
      </w:pPr>
      <w:rPr>
        <w:rFonts w:hint="default"/>
      </w:rPr>
    </w:lvl>
    <w:lvl w:ilvl="7">
      <w:start w:val="1"/>
      <w:numFmt w:val="decimal"/>
      <w:pStyle w:val="Titre8"/>
      <w:lvlText w:val="%1.%2.%3.%4.%5.%6.%7.%8"/>
      <w:lvlJc w:val="left"/>
      <w:pPr>
        <w:ind w:left="2160" w:hanging="1440"/>
      </w:pPr>
      <w:rPr>
        <w:rFonts w:hint="default"/>
      </w:rPr>
    </w:lvl>
    <w:lvl w:ilvl="8">
      <w:start w:val="1"/>
      <w:numFmt w:val="decimal"/>
      <w:pStyle w:val="Titre9"/>
      <w:lvlText w:val="%1.%2.%3.%4.%5.%6.%7.%8.%9"/>
      <w:lvlJc w:val="left"/>
      <w:pPr>
        <w:ind w:left="2304" w:hanging="1584"/>
      </w:pPr>
      <w:rPr>
        <w:rFonts w:hint="default"/>
      </w:rPr>
    </w:lvl>
  </w:abstractNum>
  <w:abstractNum w:abstractNumId="9">
    <w:nsid w:val="17DC18E6"/>
    <w:multiLevelType w:val="hybridMultilevel"/>
    <w:tmpl w:val="CE46F25E"/>
    <w:lvl w:ilvl="0" w:tplc="930CC13A">
      <w:start w:val="1"/>
      <w:numFmt w:val="bullet"/>
      <w:lvlText w:val=""/>
      <w:lvlJc w:val="left"/>
      <w:pPr>
        <w:ind w:left="720" w:hanging="360"/>
      </w:pPr>
      <w:rPr>
        <w:rFonts w:ascii="Symbol" w:hAnsi="Symbol" w:hint="default"/>
      </w:rPr>
    </w:lvl>
    <w:lvl w:ilvl="1" w:tplc="8210451C">
      <w:start w:val="1"/>
      <w:numFmt w:val="bullet"/>
      <w:lvlText w:val="o"/>
      <w:lvlJc w:val="left"/>
      <w:pPr>
        <w:ind w:left="1440" w:hanging="360"/>
      </w:pPr>
      <w:rPr>
        <w:rFonts w:ascii="Courier New" w:hAnsi="Courier New" w:cs="Courier New" w:hint="default"/>
      </w:rPr>
    </w:lvl>
    <w:lvl w:ilvl="2" w:tplc="A34E5CCC">
      <w:start w:val="1"/>
      <w:numFmt w:val="bullet"/>
      <w:lvlText w:val=""/>
      <w:lvlJc w:val="left"/>
      <w:pPr>
        <w:ind w:left="2160" w:hanging="360"/>
      </w:pPr>
      <w:rPr>
        <w:rFonts w:ascii="Wingdings" w:hAnsi="Wingdings" w:hint="default"/>
      </w:rPr>
    </w:lvl>
    <w:lvl w:ilvl="3" w:tplc="90DCB43A">
      <w:start w:val="1"/>
      <w:numFmt w:val="bullet"/>
      <w:lvlText w:val=""/>
      <w:lvlJc w:val="left"/>
      <w:pPr>
        <w:ind w:left="2880" w:hanging="360"/>
      </w:pPr>
      <w:rPr>
        <w:rFonts w:ascii="Symbol" w:hAnsi="Symbol" w:hint="default"/>
      </w:rPr>
    </w:lvl>
    <w:lvl w:ilvl="4" w:tplc="B9A4456E">
      <w:start w:val="1"/>
      <w:numFmt w:val="bullet"/>
      <w:lvlText w:val="o"/>
      <w:lvlJc w:val="left"/>
      <w:pPr>
        <w:ind w:left="3600" w:hanging="360"/>
      </w:pPr>
      <w:rPr>
        <w:rFonts w:ascii="Courier New" w:hAnsi="Courier New" w:cs="Courier New" w:hint="default"/>
      </w:rPr>
    </w:lvl>
    <w:lvl w:ilvl="5" w:tplc="022A417A">
      <w:start w:val="1"/>
      <w:numFmt w:val="bullet"/>
      <w:lvlText w:val=""/>
      <w:lvlJc w:val="left"/>
      <w:pPr>
        <w:ind w:left="4320" w:hanging="360"/>
      </w:pPr>
      <w:rPr>
        <w:rFonts w:ascii="Wingdings" w:hAnsi="Wingdings" w:hint="default"/>
      </w:rPr>
    </w:lvl>
    <w:lvl w:ilvl="6" w:tplc="53E29288">
      <w:start w:val="1"/>
      <w:numFmt w:val="bullet"/>
      <w:lvlText w:val=""/>
      <w:lvlJc w:val="left"/>
      <w:pPr>
        <w:ind w:left="5040" w:hanging="360"/>
      </w:pPr>
      <w:rPr>
        <w:rFonts w:ascii="Symbol" w:hAnsi="Symbol" w:hint="default"/>
      </w:rPr>
    </w:lvl>
    <w:lvl w:ilvl="7" w:tplc="DEE2233A">
      <w:start w:val="1"/>
      <w:numFmt w:val="bullet"/>
      <w:lvlText w:val="o"/>
      <w:lvlJc w:val="left"/>
      <w:pPr>
        <w:ind w:left="5760" w:hanging="360"/>
      </w:pPr>
      <w:rPr>
        <w:rFonts w:ascii="Courier New" w:hAnsi="Courier New" w:cs="Courier New" w:hint="default"/>
      </w:rPr>
    </w:lvl>
    <w:lvl w:ilvl="8" w:tplc="C5F02128">
      <w:start w:val="1"/>
      <w:numFmt w:val="bullet"/>
      <w:lvlText w:val=""/>
      <w:lvlJc w:val="left"/>
      <w:pPr>
        <w:ind w:left="6480" w:hanging="360"/>
      </w:pPr>
      <w:rPr>
        <w:rFonts w:ascii="Wingdings" w:hAnsi="Wingdings" w:hint="default"/>
      </w:rPr>
    </w:lvl>
  </w:abstractNum>
  <w:abstractNum w:abstractNumId="10">
    <w:nsid w:val="199D5ECD"/>
    <w:multiLevelType w:val="multilevel"/>
    <w:tmpl w:val="678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86C61"/>
    <w:multiLevelType w:val="hybridMultilevel"/>
    <w:tmpl w:val="787E0AF2"/>
    <w:lvl w:ilvl="0" w:tplc="29CE5042">
      <w:start w:val="1"/>
      <w:numFmt w:val="bullet"/>
      <w:pStyle w:val="Titreoptions"/>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C4D59BD"/>
    <w:multiLevelType w:val="hybridMultilevel"/>
    <w:tmpl w:val="F9B8C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FC1CA7"/>
    <w:multiLevelType w:val="hybridMultilevel"/>
    <w:tmpl w:val="DD6CF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D51D4F"/>
    <w:multiLevelType w:val="hybridMultilevel"/>
    <w:tmpl w:val="17D8F8DE"/>
    <w:lvl w:ilvl="0" w:tplc="09E878C2">
      <w:start w:val="1"/>
      <w:numFmt w:val="bullet"/>
      <w:lvlText w:val=""/>
      <w:lvlJc w:val="left"/>
      <w:pPr>
        <w:ind w:left="1068" w:hanging="360"/>
      </w:pPr>
      <w:rPr>
        <w:rFonts w:ascii="Symbol" w:hAnsi="Symbol" w:hint="default"/>
      </w:rPr>
    </w:lvl>
    <w:lvl w:ilvl="1" w:tplc="1F3829B4">
      <w:start w:val="1"/>
      <w:numFmt w:val="bullet"/>
      <w:lvlText w:val="o"/>
      <w:lvlJc w:val="left"/>
      <w:pPr>
        <w:ind w:left="1788" w:hanging="360"/>
      </w:pPr>
      <w:rPr>
        <w:rFonts w:ascii="Courier New" w:hAnsi="Courier New" w:cs="Courier New" w:hint="default"/>
      </w:rPr>
    </w:lvl>
    <w:lvl w:ilvl="2" w:tplc="6096C71E">
      <w:start w:val="1"/>
      <w:numFmt w:val="bullet"/>
      <w:lvlText w:val=""/>
      <w:lvlJc w:val="left"/>
      <w:pPr>
        <w:ind w:left="2508" w:hanging="360"/>
      </w:pPr>
      <w:rPr>
        <w:rFonts w:ascii="Wingdings" w:hAnsi="Wingdings" w:hint="default"/>
      </w:rPr>
    </w:lvl>
    <w:lvl w:ilvl="3" w:tplc="51D85226">
      <w:start w:val="1"/>
      <w:numFmt w:val="bullet"/>
      <w:lvlText w:val=""/>
      <w:lvlJc w:val="left"/>
      <w:pPr>
        <w:ind w:left="3228" w:hanging="360"/>
      </w:pPr>
      <w:rPr>
        <w:rFonts w:ascii="Symbol" w:hAnsi="Symbol" w:hint="default"/>
      </w:rPr>
    </w:lvl>
    <w:lvl w:ilvl="4" w:tplc="F6CE047C">
      <w:start w:val="1"/>
      <w:numFmt w:val="bullet"/>
      <w:lvlText w:val="o"/>
      <w:lvlJc w:val="left"/>
      <w:pPr>
        <w:ind w:left="3948" w:hanging="360"/>
      </w:pPr>
      <w:rPr>
        <w:rFonts w:ascii="Courier New" w:hAnsi="Courier New" w:cs="Courier New" w:hint="default"/>
      </w:rPr>
    </w:lvl>
    <w:lvl w:ilvl="5" w:tplc="4B80CD38">
      <w:start w:val="1"/>
      <w:numFmt w:val="bullet"/>
      <w:lvlText w:val=""/>
      <w:lvlJc w:val="left"/>
      <w:pPr>
        <w:ind w:left="4668" w:hanging="360"/>
      </w:pPr>
      <w:rPr>
        <w:rFonts w:ascii="Wingdings" w:hAnsi="Wingdings" w:hint="default"/>
      </w:rPr>
    </w:lvl>
    <w:lvl w:ilvl="6" w:tplc="56CE7456">
      <w:start w:val="1"/>
      <w:numFmt w:val="bullet"/>
      <w:lvlText w:val=""/>
      <w:lvlJc w:val="left"/>
      <w:pPr>
        <w:ind w:left="5388" w:hanging="360"/>
      </w:pPr>
      <w:rPr>
        <w:rFonts w:ascii="Symbol" w:hAnsi="Symbol" w:hint="default"/>
      </w:rPr>
    </w:lvl>
    <w:lvl w:ilvl="7" w:tplc="736A40C4">
      <w:start w:val="1"/>
      <w:numFmt w:val="bullet"/>
      <w:lvlText w:val="o"/>
      <w:lvlJc w:val="left"/>
      <w:pPr>
        <w:ind w:left="6108" w:hanging="360"/>
      </w:pPr>
      <w:rPr>
        <w:rFonts w:ascii="Courier New" w:hAnsi="Courier New" w:cs="Courier New" w:hint="default"/>
      </w:rPr>
    </w:lvl>
    <w:lvl w:ilvl="8" w:tplc="1D50F6DC">
      <w:start w:val="1"/>
      <w:numFmt w:val="bullet"/>
      <w:lvlText w:val=""/>
      <w:lvlJc w:val="left"/>
      <w:pPr>
        <w:ind w:left="6828" w:hanging="360"/>
      </w:pPr>
      <w:rPr>
        <w:rFonts w:ascii="Wingdings" w:hAnsi="Wingdings" w:hint="default"/>
      </w:rPr>
    </w:lvl>
  </w:abstractNum>
  <w:abstractNum w:abstractNumId="15">
    <w:nsid w:val="27343EF1"/>
    <w:multiLevelType w:val="hybridMultilevel"/>
    <w:tmpl w:val="B282A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A8011A"/>
    <w:multiLevelType w:val="hybridMultilevel"/>
    <w:tmpl w:val="C5ACD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57289E"/>
    <w:multiLevelType w:val="hybridMultilevel"/>
    <w:tmpl w:val="07326648"/>
    <w:lvl w:ilvl="0" w:tplc="9836FA18">
      <w:start w:val="1"/>
      <w:numFmt w:val="decimal"/>
      <w:pStyle w:val="Titre4"/>
      <w:lvlText w:val="Annexe %1 :"/>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2B7019CB"/>
    <w:multiLevelType w:val="multilevel"/>
    <w:tmpl w:val="3086FAD8"/>
    <w:styleLink w:val="Listeactuelle1"/>
    <w:lvl w:ilvl="0">
      <w:start w:val="1"/>
      <w:numFmt w:val="decimal"/>
      <w:lvlText w:val="%1"/>
      <w:lvlJc w:val="left"/>
      <w:pPr>
        <w:ind w:left="432" w:hanging="432"/>
      </w:pPr>
      <w:rPr>
        <w:rFonts w:hint="default"/>
      </w:rPr>
    </w:lvl>
    <w:lvl w:ilvl="1">
      <w:start w:val="1"/>
      <w:numFmt w:val="decimal"/>
      <w:lvlText w:val="%1.%2"/>
      <w:lvlJc w:val="left"/>
      <w:pPr>
        <w:tabs>
          <w:tab w:val="num" w:pos="851"/>
        </w:tabs>
        <w:ind w:left="567" w:hanging="113"/>
      </w:pPr>
      <w:rPr>
        <w:rFonts w:hint="default"/>
      </w:rPr>
    </w:lvl>
    <w:lvl w:ilvl="2">
      <w:start w:val="1"/>
      <w:numFmt w:val="decimal"/>
      <w:lvlText w:val="%1.%2.%3"/>
      <w:lvlJc w:val="left"/>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1E13F69"/>
    <w:multiLevelType w:val="hybridMultilevel"/>
    <w:tmpl w:val="D514E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80600C"/>
    <w:multiLevelType w:val="multilevel"/>
    <w:tmpl w:val="145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C9354E"/>
    <w:multiLevelType w:val="multilevel"/>
    <w:tmpl w:val="49B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5F3D44"/>
    <w:multiLevelType w:val="multilevel"/>
    <w:tmpl w:val="3600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E1A24"/>
    <w:multiLevelType w:val="hybridMultilevel"/>
    <w:tmpl w:val="0A5A96F0"/>
    <w:lvl w:ilvl="0" w:tplc="2E9097E0">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800020"/>
    <w:multiLevelType w:val="multilevel"/>
    <w:tmpl w:val="323C9678"/>
    <w:styleLink w:val="Listeactuelle3"/>
    <w:lvl w:ilvl="0">
      <w:start w:val="1"/>
      <w:numFmt w:val="decimal"/>
      <w:suff w:val="space"/>
      <w:lvlText w:val="%1"/>
      <w:lvlJc w:val="left"/>
      <w:pPr>
        <w:ind w:left="0" w:firstLine="0"/>
      </w:pPr>
      <w:rPr>
        <w:rFonts w:hint="default"/>
      </w:rPr>
    </w:lvl>
    <w:lvl w:ilvl="1">
      <w:start w:val="1"/>
      <w:numFmt w:val="decimal"/>
      <w:suff w:val="space"/>
      <w:lvlText w:val="%1.%2"/>
      <w:lvlJc w:val="left"/>
      <w:pPr>
        <w:ind w:left="1296" w:hanging="576"/>
      </w:pPr>
      <w:rPr>
        <w:rFonts w:hint="default"/>
      </w:rPr>
    </w:lvl>
    <w:lvl w:ilvl="2">
      <w:start w:val="1"/>
      <w:numFmt w:val="decimal"/>
      <w:suff w:val="space"/>
      <w:lvlText w:val="%1.%2.%3"/>
      <w:lvlJc w:val="left"/>
      <w:pPr>
        <w:ind w:left="1440" w:hanging="72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5">
    <w:nsid w:val="41DD6A62"/>
    <w:multiLevelType w:val="multilevel"/>
    <w:tmpl w:val="E8D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9D3D9E"/>
    <w:multiLevelType w:val="multilevel"/>
    <w:tmpl w:val="125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0344C"/>
    <w:multiLevelType w:val="hybridMultilevel"/>
    <w:tmpl w:val="19B0C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EA43A90"/>
    <w:multiLevelType w:val="multilevel"/>
    <w:tmpl w:val="F05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244B08"/>
    <w:multiLevelType w:val="multilevel"/>
    <w:tmpl w:val="55201532"/>
    <w:lvl w:ilvl="0">
      <w:start w:val="1"/>
      <w:numFmt w:val="decimal"/>
      <w:lvlText w:val="%1."/>
      <w:lvlJc w:val="left"/>
      <w:pPr>
        <w:tabs>
          <w:tab w:val="num" w:pos="0"/>
        </w:tabs>
        <w:ind w:left="709" w:hanging="360"/>
      </w:pPr>
    </w:lvl>
    <w:lvl w:ilvl="1">
      <w:start w:val="1"/>
      <w:numFmt w:val="lowerLetter"/>
      <w:lvlText w:val="%2."/>
      <w:lvlJc w:val="left"/>
      <w:pPr>
        <w:tabs>
          <w:tab w:val="num" w:pos="0"/>
        </w:tabs>
        <w:ind w:left="1429" w:hanging="360"/>
      </w:pPr>
    </w:lvl>
    <w:lvl w:ilvl="2">
      <w:start w:val="1"/>
      <w:numFmt w:val="lowerRoman"/>
      <w:lvlText w:val="%3."/>
      <w:lvlJc w:val="right"/>
      <w:pPr>
        <w:tabs>
          <w:tab w:val="num" w:pos="0"/>
        </w:tabs>
        <w:ind w:left="2149" w:hanging="180"/>
      </w:pPr>
    </w:lvl>
    <w:lvl w:ilvl="3">
      <w:start w:val="1"/>
      <w:numFmt w:val="decimal"/>
      <w:lvlText w:val="%4."/>
      <w:lvlJc w:val="left"/>
      <w:pPr>
        <w:tabs>
          <w:tab w:val="num" w:pos="0"/>
        </w:tabs>
        <w:ind w:left="2869" w:hanging="360"/>
      </w:pPr>
    </w:lvl>
    <w:lvl w:ilvl="4">
      <w:start w:val="1"/>
      <w:numFmt w:val="lowerLetter"/>
      <w:lvlText w:val="%5."/>
      <w:lvlJc w:val="left"/>
      <w:pPr>
        <w:tabs>
          <w:tab w:val="num" w:pos="0"/>
        </w:tabs>
        <w:ind w:left="3589" w:hanging="360"/>
      </w:pPr>
    </w:lvl>
    <w:lvl w:ilvl="5">
      <w:start w:val="1"/>
      <w:numFmt w:val="lowerRoman"/>
      <w:lvlText w:val="%6."/>
      <w:lvlJc w:val="right"/>
      <w:pPr>
        <w:tabs>
          <w:tab w:val="num" w:pos="0"/>
        </w:tabs>
        <w:ind w:left="4309" w:hanging="180"/>
      </w:pPr>
    </w:lvl>
    <w:lvl w:ilvl="6">
      <w:start w:val="1"/>
      <w:numFmt w:val="decimal"/>
      <w:lvlText w:val="%7."/>
      <w:lvlJc w:val="left"/>
      <w:pPr>
        <w:tabs>
          <w:tab w:val="num" w:pos="0"/>
        </w:tabs>
        <w:ind w:left="5029" w:hanging="360"/>
      </w:pPr>
    </w:lvl>
    <w:lvl w:ilvl="7">
      <w:start w:val="1"/>
      <w:numFmt w:val="lowerLetter"/>
      <w:lvlText w:val="%8."/>
      <w:lvlJc w:val="left"/>
      <w:pPr>
        <w:tabs>
          <w:tab w:val="num" w:pos="0"/>
        </w:tabs>
        <w:ind w:left="5749" w:hanging="360"/>
      </w:pPr>
    </w:lvl>
    <w:lvl w:ilvl="8">
      <w:start w:val="1"/>
      <w:numFmt w:val="lowerRoman"/>
      <w:lvlText w:val="%9."/>
      <w:lvlJc w:val="right"/>
      <w:pPr>
        <w:tabs>
          <w:tab w:val="num" w:pos="0"/>
        </w:tabs>
        <w:ind w:left="6469" w:hanging="180"/>
      </w:pPr>
    </w:lvl>
  </w:abstractNum>
  <w:abstractNum w:abstractNumId="30">
    <w:nsid w:val="54A46AE1"/>
    <w:multiLevelType w:val="multilevel"/>
    <w:tmpl w:val="233C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C0457"/>
    <w:multiLevelType w:val="multilevel"/>
    <w:tmpl w:val="342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E33E1D"/>
    <w:multiLevelType w:val="hybridMultilevel"/>
    <w:tmpl w:val="5282C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9E7E57"/>
    <w:multiLevelType w:val="multilevel"/>
    <w:tmpl w:val="540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F47C98"/>
    <w:multiLevelType w:val="hybridMultilevel"/>
    <w:tmpl w:val="3AD4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3C58D3"/>
    <w:multiLevelType w:val="hybridMultilevel"/>
    <w:tmpl w:val="A6F46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D34EE9"/>
    <w:multiLevelType w:val="hybridMultilevel"/>
    <w:tmpl w:val="C144F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A6A34FB"/>
    <w:multiLevelType w:val="hybridMultilevel"/>
    <w:tmpl w:val="5DCAA914"/>
    <w:lvl w:ilvl="0" w:tplc="F2380876">
      <w:start w:val="1"/>
      <w:numFmt w:val="decimal"/>
      <w:lvlText w:val="%1."/>
      <w:lvlJc w:val="left"/>
      <w:pPr>
        <w:ind w:left="720" w:hanging="360"/>
      </w:pPr>
      <w:rPr>
        <w:color w:val="000000" w:themeColor="text1"/>
      </w:rPr>
    </w:lvl>
    <w:lvl w:ilvl="1" w:tplc="EF8A3AEC">
      <w:start w:val="1"/>
      <w:numFmt w:val="lowerLetter"/>
      <w:lvlText w:val="%2."/>
      <w:lvlJc w:val="left"/>
      <w:pPr>
        <w:ind w:left="1440" w:hanging="360"/>
      </w:pPr>
    </w:lvl>
    <w:lvl w:ilvl="2" w:tplc="C24ED13A">
      <w:start w:val="1"/>
      <w:numFmt w:val="lowerRoman"/>
      <w:lvlText w:val="%3."/>
      <w:lvlJc w:val="right"/>
      <w:pPr>
        <w:ind w:left="2160" w:hanging="180"/>
      </w:pPr>
    </w:lvl>
    <w:lvl w:ilvl="3" w:tplc="4AFAAB5E">
      <w:start w:val="1"/>
      <w:numFmt w:val="decimal"/>
      <w:lvlText w:val="%4."/>
      <w:lvlJc w:val="left"/>
      <w:pPr>
        <w:ind w:left="2880" w:hanging="360"/>
      </w:pPr>
    </w:lvl>
    <w:lvl w:ilvl="4" w:tplc="DF401F52">
      <w:start w:val="1"/>
      <w:numFmt w:val="lowerLetter"/>
      <w:lvlText w:val="%5."/>
      <w:lvlJc w:val="left"/>
      <w:pPr>
        <w:ind w:left="3600" w:hanging="360"/>
      </w:pPr>
    </w:lvl>
    <w:lvl w:ilvl="5" w:tplc="FD08A414">
      <w:start w:val="1"/>
      <w:numFmt w:val="lowerRoman"/>
      <w:lvlText w:val="%6."/>
      <w:lvlJc w:val="right"/>
      <w:pPr>
        <w:ind w:left="4320" w:hanging="180"/>
      </w:pPr>
    </w:lvl>
    <w:lvl w:ilvl="6" w:tplc="0F2414F0">
      <w:start w:val="1"/>
      <w:numFmt w:val="decimal"/>
      <w:lvlText w:val="%7."/>
      <w:lvlJc w:val="left"/>
      <w:pPr>
        <w:ind w:left="5040" w:hanging="360"/>
      </w:pPr>
    </w:lvl>
    <w:lvl w:ilvl="7" w:tplc="78B4F45E">
      <w:start w:val="1"/>
      <w:numFmt w:val="lowerLetter"/>
      <w:lvlText w:val="%8."/>
      <w:lvlJc w:val="left"/>
      <w:pPr>
        <w:ind w:left="5760" w:hanging="360"/>
      </w:pPr>
    </w:lvl>
    <w:lvl w:ilvl="8" w:tplc="80C21E7E">
      <w:start w:val="1"/>
      <w:numFmt w:val="lowerRoman"/>
      <w:lvlText w:val="%9."/>
      <w:lvlJc w:val="right"/>
      <w:pPr>
        <w:ind w:left="6480" w:hanging="180"/>
      </w:pPr>
    </w:lvl>
  </w:abstractNum>
  <w:abstractNum w:abstractNumId="38">
    <w:nsid w:val="6A700B13"/>
    <w:multiLevelType w:val="multilevel"/>
    <w:tmpl w:val="0C06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362CD3"/>
    <w:multiLevelType w:val="multilevel"/>
    <w:tmpl w:val="3086FAD8"/>
    <w:styleLink w:val="Listeactuelle2"/>
    <w:lvl w:ilvl="0">
      <w:start w:val="1"/>
      <w:numFmt w:val="decimal"/>
      <w:lvlText w:val="%1"/>
      <w:lvlJc w:val="left"/>
      <w:pPr>
        <w:ind w:left="432" w:hanging="432"/>
      </w:pPr>
      <w:rPr>
        <w:rFonts w:hint="default"/>
      </w:rPr>
    </w:lvl>
    <w:lvl w:ilvl="1">
      <w:start w:val="1"/>
      <w:numFmt w:val="decimal"/>
      <w:lvlText w:val="%1.%2"/>
      <w:lvlJc w:val="left"/>
      <w:pPr>
        <w:tabs>
          <w:tab w:val="num" w:pos="851"/>
        </w:tabs>
        <w:ind w:left="567" w:hanging="113"/>
      </w:pPr>
      <w:rPr>
        <w:rFonts w:hint="default"/>
      </w:rPr>
    </w:lvl>
    <w:lvl w:ilvl="2">
      <w:start w:val="1"/>
      <w:numFmt w:val="decimal"/>
      <w:lvlText w:val="%1.%2.%3"/>
      <w:lvlJc w:val="left"/>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6C886A66"/>
    <w:multiLevelType w:val="multilevel"/>
    <w:tmpl w:val="2484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3735ED"/>
    <w:multiLevelType w:val="multilevel"/>
    <w:tmpl w:val="1D22EAA4"/>
    <w:lvl w:ilvl="0">
      <w:numFmt w:val="bullet"/>
      <w:lvlText w:val="-"/>
      <w:lvlJc w:val="left"/>
      <w:pPr>
        <w:tabs>
          <w:tab w:val="num" w:pos="0"/>
        </w:tabs>
        <w:ind w:left="754" w:hanging="360"/>
      </w:pPr>
      <w:rPr>
        <w:rFonts w:ascii="Calibri" w:hAnsi="Calibri" w:cs="Calibri"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42">
    <w:nsid w:val="6F1D055E"/>
    <w:multiLevelType w:val="hybridMultilevel"/>
    <w:tmpl w:val="48FAF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012227C"/>
    <w:multiLevelType w:val="hybridMultilevel"/>
    <w:tmpl w:val="3EB62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785AE0"/>
    <w:multiLevelType w:val="multilevel"/>
    <w:tmpl w:val="0FE4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775C2D"/>
    <w:multiLevelType w:val="hybridMultilevel"/>
    <w:tmpl w:val="0B5049AC"/>
    <w:lvl w:ilvl="0" w:tplc="D7B85EF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B7C0CD9"/>
    <w:multiLevelType w:val="multilevel"/>
    <w:tmpl w:val="4614C94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7B942AD6"/>
    <w:multiLevelType w:val="multilevel"/>
    <w:tmpl w:val="28B6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32"/>
  </w:num>
  <w:num w:numId="4">
    <w:abstractNumId w:val="3"/>
  </w:num>
  <w:num w:numId="5">
    <w:abstractNumId w:val="18"/>
  </w:num>
  <w:num w:numId="6">
    <w:abstractNumId w:val="35"/>
  </w:num>
  <w:num w:numId="7">
    <w:abstractNumId w:val="43"/>
  </w:num>
  <w:num w:numId="8">
    <w:abstractNumId w:val="27"/>
  </w:num>
  <w:num w:numId="9">
    <w:abstractNumId w:val="19"/>
  </w:num>
  <w:num w:numId="10">
    <w:abstractNumId w:val="0"/>
  </w:num>
  <w:num w:numId="11">
    <w:abstractNumId w:val="7"/>
  </w:num>
  <w:num w:numId="12">
    <w:abstractNumId w:val="36"/>
  </w:num>
  <w:num w:numId="13">
    <w:abstractNumId w:val="42"/>
  </w:num>
  <w:num w:numId="14">
    <w:abstractNumId w:val="15"/>
  </w:num>
  <w:num w:numId="15">
    <w:abstractNumId w:val="34"/>
  </w:num>
  <w:num w:numId="16">
    <w:abstractNumId w:val="16"/>
  </w:num>
  <w:num w:numId="17">
    <w:abstractNumId w:val="39"/>
  </w:num>
  <w:num w:numId="18">
    <w:abstractNumId w:val="24"/>
  </w:num>
  <w:num w:numId="19">
    <w:abstractNumId w:val="12"/>
  </w:num>
  <w:num w:numId="20">
    <w:abstractNumId w:val="6"/>
  </w:num>
  <w:num w:numId="21">
    <w:abstractNumId w:val="23"/>
  </w:num>
  <w:num w:numId="22">
    <w:abstractNumId w:val="11"/>
  </w:num>
  <w:num w:numId="23">
    <w:abstractNumId w:val="5"/>
  </w:num>
  <w:num w:numId="24">
    <w:abstractNumId w:val="45"/>
  </w:num>
  <w:num w:numId="25">
    <w:abstractNumId w:val="46"/>
  </w:num>
  <w:num w:numId="26">
    <w:abstractNumId w:val="29"/>
  </w:num>
  <w:num w:numId="27">
    <w:abstractNumId w:val="41"/>
  </w:num>
  <w:num w:numId="28">
    <w:abstractNumId w:val="2"/>
  </w:num>
  <w:num w:numId="29">
    <w:abstractNumId w:val="17"/>
  </w:num>
  <w:num w:numId="30">
    <w:abstractNumId w:val="9"/>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4"/>
  </w:num>
  <w:num w:numId="34">
    <w:abstractNumId w:val="30"/>
  </w:num>
  <w:num w:numId="35">
    <w:abstractNumId w:val="1"/>
  </w:num>
  <w:num w:numId="36">
    <w:abstractNumId w:val="47"/>
  </w:num>
  <w:num w:numId="37">
    <w:abstractNumId w:val="20"/>
  </w:num>
  <w:num w:numId="38">
    <w:abstractNumId w:val="44"/>
  </w:num>
  <w:num w:numId="39">
    <w:abstractNumId w:val="38"/>
  </w:num>
  <w:num w:numId="40">
    <w:abstractNumId w:val="40"/>
  </w:num>
  <w:num w:numId="41">
    <w:abstractNumId w:val="10"/>
  </w:num>
  <w:num w:numId="42">
    <w:abstractNumId w:val="21"/>
  </w:num>
  <w:num w:numId="43">
    <w:abstractNumId w:val="22"/>
  </w:num>
  <w:num w:numId="44">
    <w:abstractNumId w:val="25"/>
  </w:num>
  <w:num w:numId="45">
    <w:abstractNumId w:val="31"/>
  </w:num>
  <w:num w:numId="46">
    <w:abstractNumId w:val="33"/>
  </w:num>
  <w:num w:numId="47">
    <w:abstractNumId w:val="28"/>
  </w:num>
  <w:num w:numId="48">
    <w:abstractNumId w:val="26"/>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SCAL Camille">
    <w15:presenceInfo w15:providerId="AD" w15:userId="S-1-5-21-3899772798-43431452-696695657-27702"/>
  </w15:person>
  <w15:person w15:author="JAGLINE Hélène">
    <w15:presenceInfo w15:providerId="AD" w15:userId="S-1-5-21-3899772798-43431452-696695657-33335"/>
  </w15:person>
  <w15:person w15:author="LE BIHAN Christine">
    <w15:presenceInfo w15:providerId="AD" w15:userId="S-1-5-21-3899772798-43431452-696695657-18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I:\PROJETS TRANSVERSAUX\SOR\Service doc\Reference Manager\Format de reference\Formats sortie\biblioSOR100709.os&lt;/StartingRefnum&gt;&lt;FontName&gt;Trebuchet MS&lt;/FontName&gt;&lt;FontSize&gt;9&lt;/FontSize&gt;&lt;ReflistTitle&gt;&lt;/ReflistTitle&gt;&lt;SpaceAfter&gt;1&lt;/SpaceAfter&gt;&lt;ReflistOrder&gt;1&lt;/ReflistOrder&gt;&lt;CitationOrder&gt;1&lt;/CitationOrder&gt;&lt;NumberReferences&gt;0&lt;/NumberReferences&gt;&lt;FirstLineIndent&gt;0&lt;/FirstLineIndent&gt;&lt;HangingIndent&gt;0&lt;/HangingIndent&gt;&lt;LineSpacing&gt;0&lt;/LineSpacing&gt;&lt;ShowReprint&gt;1&lt;/ShowReprint&gt;&lt;ShowNotes&gt;1&lt;/ShowNotes&gt;&lt;ShowKeywords&gt;0&lt;/ShowKeywords&gt;&lt;ShortFormFields&gt;0&lt;/ShortFormFields&gt;&lt;ShowRecordID&gt;0&lt;/ShowRecordID&gt;&lt;ShowAbstract&gt;0&lt;/ShowAbstract&gt;&lt;/Layout&gt;"/>
    <w:docVar w:name="REFMGR.Libraries" w:val="&lt;Databases&gt;&lt;Libraries&gt;&lt;item&gt;biblio_ovaire_chirurgie_BASE_GLOBALE-MAJ-2007&lt;/item&gt;&lt;/Libraries&gt;&lt;/Databases&gt;"/>
  </w:docVars>
  <w:rsids>
    <w:rsidRoot w:val="00CF1155"/>
    <w:rsid w:val="000009B8"/>
    <w:rsid w:val="000020CD"/>
    <w:rsid w:val="00002199"/>
    <w:rsid w:val="00002E3C"/>
    <w:rsid w:val="00002ED8"/>
    <w:rsid w:val="00003191"/>
    <w:rsid w:val="000031E2"/>
    <w:rsid w:val="0000355F"/>
    <w:rsid w:val="00003C01"/>
    <w:rsid w:val="00003D31"/>
    <w:rsid w:val="00003D65"/>
    <w:rsid w:val="0000579D"/>
    <w:rsid w:val="00005814"/>
    <w:rsid w:val="000060A8"/>
    <w:rsid w:val="0000613F"/>
    <w:rsid w:val="0000674E"/>
    <w:rsid w:val="00006CE5"/>
    <w:rsid w:val="00007C4A"/>
    <w:rsid w:val="00010D4C"/>
    <w:rsid w:val="0001240C"/>
    <w:rsid w:val="00012DC5"/>
    <w:rsid w:val="0001458D"/>
    <w:rsid w:val="000146B9"/>
    <w:rsid w:val="00014C92"/>
    <w:rsid w:val="00016F32"/>
    <w:rsid w:val="00017090"/>
    <w:rsid w:val="000172E2"/>
    <w:rsid w:val="00017466"/>
    <w:rsid w:val="00017D7E"/>
    <w:rsid w:val="00017DCA"/>
    <w:rsid w:val="00017FAE"/>
    <w:rsid w:val="00020D77"/>
    <w:rsid w:val="00021C42"/>
    <w:rsid w:val="00021D94"/>
    <w:rsid w:val="00022887"/>
    <w:rsid w:val="00023BC7"/>
    <w:rsid w:val="00023D6F"/>
    <w:rsid w:val="00023F96"/>
    <w:rsid w:val="00024131"/>
    <w:rsid w:val="000254BA"/>
    <w:rsid w:val="00025D93"/>
    <w:rsid w:val="00027537"/>
    <w:rsid w:val="00027BE1"/>
    <w:rsid w:val="00027DD8"/>
    <w:rsid w:val="0003133B"/>
    <w:rsid w:val="000320E1"/>
    <w:rsid w:val="00032971"/>
    <w:rsid w:val="00032D54"/>
    <w:rsid w:val="00032E32"/>
    <w:rsid w:val="0003420C"/>
    <w:rsid w:val="0003487F"/>
    <w:rsid w:val="00035FC9"/>
    <w:rsid w:val="00036BB9"/>
    <w:rsid w:val="00040DC8"/>
    <w:rsid w:val="00040E4F"/>
    <w:rsid w:val="000435E5"/>
    <w:rsid w:val="0004368B"/>
    <w:rsid w:val="00043EA8"/>
    <w:rsid w:val="000458BB"/>
    <w:rsid w:val="000459AE"/>
    <w:rsid w:val="00045B6D"/>
    <w:rsid w:val="00047589"/>
    <w:rsid w:val="00047BCE"/>
    <w:rsid w:val="00047CFF"/>
    <w:rsid w:val="00047D9D"/>
    <w:rsid w:val="000510AF"/>
    <w:rsid w:val="000516AB"/>
    <w:rsid w:val="00051A5E"/>
    <w:rsid w:val="00051AD5"/>
    <w:rsid w:val="000521C1"/>
    <w:rsid w:val="000528DE"/>
    <w:rsid w:val="000537F3"/>
    <w:rsid w:val="000555BD"/>
    <w:rsid w:val="00055A23"/>
    <w:rsid w:val="00056045"/>
    <w:rsid w:val="0005798F"/>
    <w:rsid w:val="00060837"/>
    <w:rsid w:val="000608DC"/>
    <w:rsid w:val="00060984"/>
    <w:rsid w:val="00060EF2"/>
    <w:rsid w:val="00061CE4"/>
    <w:rsid w:val="00062E19"/>
    <w:rsid w:val="00064C78"/>
    <w:rsid w:val="00064D98"/>
    <w:rsid w:val="00066BCE"/>
    <w:rsid w:val="000709EB"/>
    <w:rsid w:val="00071382"/>
    <w:rsid w:val="00071B2B"/>
    <w:rsid w:val="000721E5"/>
    <w:rsid w:val="00074881"/>
    <w:rsid w:val="00074B27"/>
    <w:rsid w:val="00076EC4"/>
    <w:rsid w:val="0008148A"/>
    <w:rsid w:val="00081F6B"/>
    <w:rsid w:val="000824EE"/>
    <w:rsid w:val="00082D71"/>
    <w:rsid w:val="0008307A"/>
    <w:rsid w:val="00083556"/>
    <w:rsid w:val="00083572"/>
    <w:rsid w:val="000835A5"/>
    <w:rsid w:val="00084059"/>
    <w:rsid w:val="00085446"/>
    <w:rsid w:val="0008604E"/>
    <w:rsid w:val="0008646F"/>
    <w:rsid w:val="00086A8C"/>
    <w:rsid w:val="000870F4"/>
    <w:rsid w:val="00090EA1"/>
    <w:rsid w:val="0009266B"/>
    <w:rsid w:val="00092A59"/>
    <w:rsid w:val="0009341B"/>
    <w:rsid w:val="00094C43"/>
    <w:rsid w:val="0009547E"/>
    <w:rsid w:val="000979E2"/>
    <w:rsid w:val="00097D60"/>
    <w:rsid w:val="00097EDB"/>
    <w:rsid w:val="000A02F0"/>
    <w:rsid w:val="000A0C42"/>
    <w:rsid w:val="000A1549"/>
    <w:rsid w:val="000A16D9"/>
    <w:rsid w:val="000A3047"/>
    <w:rsid w:val="000A3622"/>
    <w:rsid w:val="000A4B58"/>
    <w:rsid w:val="000A5726"/>
    <w:rsid w:val="000A5BDD"/>
    <w:rsid w:val="000A6071"/>
    <w:rsid w:val="000A623C"/>
    <w:rsid w:val="000A69A5"/>
    <w:rsid w:val="000A6B98"/>
    <w:rsid w:val="000A6E50"/>
    <w:rsid w:val="000A75EE"/>
    <w:rsid w:val="000A7FAA"/>
    <w:rsid w:val="000B0916"/>
    <w:rsid w:val="000B1BB6"/>
    <w:rsid w:val="000B1BC5"/>
    <w:rsid w:val="000B1E9C"/>
    <w:rsid w:val="000B20BB"/>
    <w:rsid w:val="000B239B"/>
    <w:rsid w:val="000B2478"/>
    <w:rsid w:val="000B26FC"/>
    <w:rsid w:val="000B2D0F"/>
    <w:rsid w:val="000B31C5"/>
    <w:rsid w:val="000B4998"/>
    <w:rsid w:val="000B615D"/>
    <w:rsid w:val="000B673F"/>
    <w:rsid w:val="000C0A1C"/>
    <w:rsid w:val="000C1611"/>
    <w:rsid w:val="000C254A"/>
    <w:rsid w:val="000C26EE"/>
    <w:rsid w:val="000C3406"/>
    <w:rsid w:val="000C3B22"/>
    <w:rsid w:val="000C5B6A"/>
    <w:rsid w:val="000C6554"/>
    <w:rsid w:val="000C6CCD"/>
    <w:rsid w:val="000C6D3C"/>
    <w:rsid w:val="000C700F"/>
    <w:rsid w:val="000C746E"/>
    <w:rsid w:val="000D1550"/>
    <w:rsid w:val="000D1E11"/>
    <w:rsid w:val="000D1FDA"/>
    <w:rsid w:val="000D218F"/>
    <w:rsid w:val="000D2532"/>
    <w:rsid w:val="000D2A49"/>
    <w:rsid w:val="000D2E4E"/>
    <w:rsid w:val="000D33F5"/>
    <w:rsid w:val="000D389D"/>
    <w:rsid w:val="000D3B3C"/>
    <w:rsid w:val="000D42F7"/>
    <w:rsid w:val="000D5DFF"/>
    <w:rsid w:val="000D6AF2"/>
    <w:rsid w:val="000D77EA"/>
    <w:rsid w:val="000D7909"/>
    <w:rsid w:val="000E04DB"/>
    <w:rsid w:val="000E07EB"/>
    <w:rsid w:val="000E0B75"/>
    <w:rsid w:val="000E1724"/>
    <w:rsid w:val="000E1A99"/>
    <w:rsid w:val="000E2A5A"/>
    <w:rsid w:val="000E3280"/>
    <w:rsid w:val="000E3F41"/>
    <w:rsid w:val="000E440F"/>
    <w:rsid w:val="000E4DEF"/>
    <w:rsid w:val="000E5AAF"/>
    <w:rsid w:val="000E5D8A"/>
    <w:rsid w:val="000E6D89"/>
    <w:rsid w:val="000F0234"/>
    <w:rsid w:val="000F037A"/>
    <w:rsid w:val="000F048B"/>
    <w:rsid w:val="000F0C9D"/>
    <w:rsid w:val="000F11C2"/>
    <w:rsid w:val="000F13D7"/>
    <w:rsid w:val="000F1714"/>
    <w:rsid w:val="000F182E"/>
    <w:rsid w:val="000F21FB"/>
    <w:rsid w:val="000F30AE"/>
    <w:rsid w:val="000F3236"/>
    <w:rsid w:val="000F5476"/>
    <w:rsid w:val="000F547A"/>
    <w:rsid w:val="000F5C6E"/>
    <w:rsid w:val="000F5F12"/>
    <w:rsid w:val="000F6C50"/>
    <w:rsid w:val="000F72FA"/>
    <w:rsid w:val="001010BF"/>
    <w:rsid w:val="0010111C"/>
    <w:rsid w:val="00101880"/>
    <w:rsid w:val="00102819"/>
    <w:rsid w:val="00103578"/>
    <w:rsid w:val="001037E9"/>
    <w:rsid w:val="00104685"/>
    <w:rsid w:val="001058E2"/>
    <w:rsid w:val="00105C95"/>
    <w:rsid w:val="0010775A"/>
    <w:rsid w:val="0010777F"/>
    <w:rsid w:val="00110732"/>
    <w:rsid w:val="00111B03"/>
    <w:rsid w:val="0011201E"/>
    <w:rsid w:val="001126B7"/>
    <w:rsid w:val="00113506"/>
    <w:rsid w:val="00113551"/>
    <w:rsid w:val="0011418A"/>
    <w:rsid w:val="00114F9C"/>
    <w:rsid w:val="0011525C"/>
    <w:rsid w:val="00115821"/>
    <w:rsid w:val="00115924"/>
    <w:rsid w:val="00117796"/>
    <w:rsid w:val="0012058F"/>
    <w:rsid w:val="00121C4F"/>
    <w:rsid w:val="0012209D"/>
    <w:rsid w:val="0012238E"/>
    <w:rsid w:val="00123747"/>
    <w:rsid w:val="001238AC"/>
    <w:rsid w:val="0012428C"/>
    <w:rsid w:val="001243DC"/>
    <w:rsid w:val="00124A69"/>
    <w:rsid w:val="00125BD1"/>
    <w:rsid w:val="001267F7"/>
    <w:rsid w:val="001272AE"/>
    <w:rsid w:val="00127B56"/>
    <w:rsid w:val="00127D24"/>
    <w:rsid w:val="00127E6E"/>
    <w:rsid w:val="0013120F"/>
    <w:rsid w:val="00131A0D"/>
    <w:rsid w:val="00131C6F"/>
    <w:rsid w:val="00133006"/>
    <w:rsid w:val="001337B7"/>
    <w:rsid w:val="00133CD1"/>
    <w:rsid w:val="00133F23"/>
    <w:rsid w:val="001343D3"/>
    <w:rsid w:val="001365EC"/>
    <w:rsid w:val="00140301"/>
    <w:rsid w:val="001410F4"/>
    <w:rsid w:val="0014137D"/>
    <w:rsid w:val="0014140E"/>
    <w:rsid w:val="00141555"/>
    <w:rsid w:val="00141980"/>
    <w:rsid w:val="001448DB"/>
    <w:rsid w:val="00144C1B"/>
    <w:rsid w:val="00145250"/>
    <w:rsid w:val="001471AF"/>
    <w:rsid w:val="00147D5E"/>
    <w:rsid w:val="00150FDC"/>
    <w:rsid w:val="00150FF3"/>
    <w:rsid w:val="0015213C"/>
    <w:rsid w:val="001539FE"/>
    <w:rsid w:val="00153B2D"/>
    <w:rsid w:val="00154108"/>
    <w:rsid w:val="001548B3"/>
    <w:rsid w:val="00155DEA"/>
    <w:rsid w:val="00156438"/>
    <w:rsid w:val="00156462"/>
    <w:rsid w:val="00156813"/>
    <w:rsid w:val="0016030A"/>
    <w:rsid w:val="001604C6"/>
    <w:rsid w:val="0016056D"/>
    <w:rsid w:val="00160800"/>
    <w:rsid w:val="00161B53"/>
    <w:rsid w:val="00161BED"/>
    <w:rsid w:val="00162A89"/>
    <w:rsid w:val="001638CC"/>
    <w:rsid w:val="001644E8"/>
    <w:rsid w:val="00164B73"/>
    <w:rsid w:val="00164C7F"/>
    <w:rsid w:val="001656FB"/>
    <w:rsid w:val="00165C7C"/>
    <w:rsid w:val="0016603D"/>
    <w:rsid w:val="001660E8"/>
    <w:rsid w:val="00166880"/>
    <w:rsid w:val="00166E30"/>
    <w:rsid w:val="001701F2"/>
    <w:rsid w:val="00171655"/>
    <w:rsid w:val="0017253F"/>
    <w:rsid w:val="0017256D"/>
    <w:rsid w:val="00173EEA"/>
    <w:rsid w:val="00173FB2"/>
    <w:rsid w:val="001745A7"/>
    <w:rsid w:val="00177781"/>
    <w:rsid w:val="00177A05"/>
    <w:rsid w:val="00180509"/>
    <w:rsid w:val="00180594"/>
    <w:rsid w:val="001813B5"/>
    <w:rsid w:val="00181860"/>
    <w:rsid w:val="00181F09"/>
    <w:rsid w:val="001822A5"/>
    <w:rsid w:val="0018245D"/>
    <w:rsid w:val="00182EC8"/>
    <w:rsid w:val="0018348D"/>
    <w:rsid w:val="00184716"/>
    <w:rsid w:val="00184869"/>
    <w:rsid w:val="00185C94"/>
    <w:rsid w:val="0019096A"/>
    <w:rsid w:val="00190C92"/>
    <w:rsid w:val="001913EC"/>
    <w:rsid w:val="00191962"/>
    <w:rsid w:val="00191A7A"/>
    <w:rsid w:val="00191EF0"/>
    <w:rsid w:val="0019393B"/>
    <w:rsid w:val="001940D6"/>
    <w:rsid w:val="00194E5A"/>
    <w:rsid w:val="00195EC6"/>
    <w:rsid w:val="00196C33"/>
    <w:rsid w:val="00197160"/>
    <w:rsid w:val="00197E1D"/>
    <w:rsid w:val="001A0262"/>
    <w:rsid w:val="001A0499"/>
    <w:rsid w:val="001A0C10"/>
    <w:rsid w:val="001A1011"/>
    <w:rsid w:val="001A1C3B"/>
    <w:rsid w:val="001A1E10"/>
    <w:rsid w:val="001A2969"/>
    <w:rsid w:val="001A2AF3"/>
    <w:rsid w:val="001A2B25"/>
    <w:rsid w:val="001A529A"/>
    <w:rsid w:val="001A61B2"/>
    <w:rsid w:val="001A6C80"/>
    <w:rsid w:val="001A7376"/>
    <w:rsid w:val="001A7B3A"/>
    <w:rsid w:val="001A7C25"/>
    <w:rsid w:val="001A7E08"/>
    <w:rsid w:val="001A7FC8"/>
    <w:rsid w:val="001B0DDB"/>
    <w:rsid w:val="001B27E1"/>
    <w:rsid w:val="001B3621"/>
    <w:rsid w:val="001B44EC"/>
    <w:rsid w:val="001B4FAF"/>
    <w:rsid w:val="001B50A8"/>
    <w:rsid w:val="001B548C"/>
    <w:rsid w:val="001B5A7E"/>
    <w:rsid w:val="001B5E9A"/>
    <w:rsid w:val="001B6353"/>
    <w:rsid w:val="001B6404"/>
    <w:rsid w:val="001B6DA9"/>
    <w:rsid w:val="001B6DB4"/>
    <w:rsid w:val="001B7581"/>
    <w:rsid w:val="001B7647"/>
    <w:rsid w:val="001C03AC"/>
    <w:rsid w:val="001C0A79"/>
    <w:rsid w:val="001C0BEB"/>
    <w:rsid w:val="001C16C3"/>
    <w:rsid w:val="001C16E1"/>
    <w:rsid w:val="001C1DC5"/>
    <w:rsid w:val="001C227F"/>
    <w:rsid w:val="001C4209"/>
    <w:rsid w:val="001C4A00"/>
    <w:rsid w:val="001C4C33"/>
    <w:rsid w:val="001C667C"/>
    <w:rsid w:val="001C6A81"/>
    <w:rsid w:val="001C6EE1"/>
    <w:rsid w:val="001C785B"/>
    <w:rsid w:val="001D0924"/>
    <w:rsid w:val="001D1377"/>
    <w:rsid w:val="001D33D8"/>
    <w:rsid w:val="001D3C7D"/>
    <w:rsid w:val="001D3CC3"/>
    <w:rsid w:val="001D4B86"/>
    <w:rsid w:val="001D5A75"/>
    <w:rsid w:val="001D62EC"/>
    <w:rsid w:val="001D6670"/>
    <w:rsid w:val="001D7777"/>
    <w:rsid w:val="001E15FA"/>
    <w:rsid w:val="001E18E6"/>
    <w:rsid w:val="001E30EF"/>
    <w:rsid w:val="001E48B2"/>
    <w:rsid w:val="001E7384"/>
    <w:rsid w:val="001E7DF0"/>
    <w:rsid w:val="001F0E65"/>
    <w:rsid w:val="001F0EBF"/>
    <w:rsid w:val="001F0F57"/>
    <w:rsid w:val="001F10CE"/>
    <w:rsid w:val="001F19EB"/>
    <w:rsid w:val="001F2AB3"/>
    <w:rsid w:val="001F2DA3"/>
    <w:rsid w:val="001F38BD"/>
    <w:rsid w:val="001F47A0"/>
    <w:rsid w:val="001F4812"/>
    <w:rsid w:val="001F492D"/>
    <w:rsid w:val="001F56DD"/>
    <w:rsid w:val="001F5CA0"/>
    <w:rsid w:val="001F5CCE"/>
    <w:rsid w:val="001F62EC"/>
    <w:rsid w:val="00201932"/>
    <w:rsid w:val="00201CB4"/>
    <w:rsid w:val="0020329B"/>
    <w:rsid w:val="00203C2C"/>
    <w:rsid w:val="0020577D"/>
    <w:rsid w:val="002065FF"/>
    <w:rsid w:val="00206641"/>
    <w:rsid w:val="002066C8"/>
    <w:rsid w:val="00206EBA"/>
    <w:rsid w:val="00207161"/>
    <w:rsid w:val="00207334"/>
    <w:rsid w:val="00207AC2"/>
    <w:rsid w:val="00207B9D"/>
    <w:rsid w:val="00207D38"/>
    <w:rsid w:val="00207F98"/>
    <w:rsid w:val="00207F99"/>
    <w:rsid w:val="00210363"/>
    <w:rsid w:val="002103FD"/>
    <w:rsid w:val="002106AE"/>
    <w:rsid w:val="0021111D"/>
    <w:rsid w:val="00211272"/>
    <w:rsid w:val="002115D2"/>
    <w:rsid w:val="0021234C"/>
    <w:rsid w:val="002124CF"/>
    <w:rsid w:val="002137C4"/>
    <w:rsid w:val="00213ACE"/>
    <w:rsid w:val="0021432F"/>
    <w:rsid w:val="00215B64"/>
    <w:rsid w:val="00215C84"/>
    <w:rsid w:val="00215DB1"/>
    <w:rsid w:val="002166C7"/>
    <w:rsid w:val="00217D53"/>
    <w:rsid w:val="002202C1"/>
    <w:rsid w:val="002205DA"/>
    <w:rsid w:val="0022066F"/>
    <w:rsid w:val="00220846"/>
    <w:rsid w:val="002215B9"/>
    <w:rsid w:val="002218CD"/>
    <w:rsid w:val="00221E3F"/>
    <w:rsid w:val="002248C1"/>
    <w:rsid w:val="00225301"/>
    <w:rsid w:val="00225580"/>
    <w:rsid w:val="00225CDE"/>
    <w:rsid w:val="00225CFE"/>
    <w:rsid w:val="00226247"/>
    <w:rsid w:val="0022650F"/>
    <w:rsid w:val="00227610"/>
    <w:rsid w:val="00227D48"/>
    <w:rsid w:val="002302DC"/>
    <w:rsid w:val="002309C0"/>
    <w:rsid w:val="00231ABB"/>
    <w:rsid w:val="00235724"/>
    <w:rsid w:val="00235CE0"/>
    <w:rsid w:val="00236201"/>
    <w:rsid w:val="002362D2"/>
    <w:rsid w:val="0023657D"/>
    <w:rsid w:val="00236670"/>
    <w:rsid w:val="0023673B"/>
    <w:rsid w:val="00236DAB"/>
    <w:rsid w:val="00236F3E"/>
    <w:rsid w:val="0023700C"/>
    <w:rsid w:val="00240073"/>
    <w:rsid w:val="00240327"/>
    <w:rsid w:val="002432D1"/>
    <w:rsid w:val="00243315"/>
    <w:rsid w:val="00244387"/>
    <w:rsid w:val="002444B3"/>
    <w:rsid w:val="00244E13"/>
    <w:rsid w:val="0024585D"/>
    <w:rsid w:val="00245F49"/>
    <w:rsid w:val="002473D1"/>
    <w:rsid w:val="00247493"/>
    <w:rsid w:val="0024771E"/>
    <w:rsid w:val="00247E04"/>
    <w:rsid w:val="00250E8A"/>
    <w:rsid w:val="00250F0C"/>
    <w:rsid w:val="0025178D"/>
    <w:rsid w:val="00252281"/>
    <w:rsid w:val="00252700"/>
    <w:rsid w:val="00252734"/>
    <w:rsid w:val="0025496D"/>
    <w:rsid w:val="002554E7"/>
    <w:rsid w:val="00255AD7"/>
    <w:rsid w:val="0025610A"/>
    <w:rsid w:val="002561DE"/>
    <w:rsid w:val="002563BB"/>
    <w:rsid w:val="0025662A"/>
    <w:rsid w:val="0025678C"/>
    <w:rsid w:val="002568B4"/>
    <w:rsid w:val="002572F6"/>
    <w:rsid w:val="00257A93"/>
    <w:rsid w:val="00260E10"/>
    <w:rsid w:val="0026157C"/>
    <w:rsid w:val="0026250F"/>
    <w:rsid w:val="00262561"/>
    <w:rsid w:val="00263F96"/>
    <w:rsid w:val="0026550B"/>
    <w:rsid w:val="00265EEB"/>
    <w:rsid w:val="002660C4"/>
    <w:rsid w:val="002662D1"/>
    <w:rsid w:val="0026634D"/>
    <w:rsid w:val="002671C5"/>
    <w:rsid w:val="00267C85"/>
    <w:rsid w:val="002700FF"/>
    <w:rsid w:val="00270E6E"/>
    <w:rsid w:val="002715A4"/>
    <w:rsid w:val="00271D0D"/>
    <w:rsid w:val="0027295F"/>
    <w:rsid w:val="002743C4"/>
    <w:rsid w:val="0027510A"/>
    <w:rsid w:val="0027538F"/>
    <w:rsid w:val="00275532"/>
    <w:rsid w:val="00275E23"/>
    <w:rsid w:val="0027625F"/>
    <w:rsid w:val="00276579"/>
    <w:rsid w:val="00276932"/>
    <w:rsid w:val="00276C65"/>
    <w:rsid w:val="002772F3"/>
    <w:rsid w:val="00280024"/>
    <w:rsid w:val="00280099"/>
    <w:rsid w:val="0028053C"/>
    <w:rsid w:val="00283280"/>
    <w:rsid w:val="00283ACA"/>
    <w:rsid w:val="0028420A"/>
    <w:rsid w:val="002864C5"/>
    <w:rsid w:val="002877B7"/>
    <w:rsid w:val="0029120D"/>
    <w:rsid w:val="00291258"/>
    <w:rsid w:val="00291826"/>
    <w:rsid w:val="00291911"/>
    <w:rsid w:val="00291B0A"/>
    <w:rsid w:val="002920EF"/>
    <w:rsid w:val="00292FE4"/>
    <w:rsid w:val="002931CC"/>
    <w:rsid w:val="00293396"/>
    <w:rsid w:val="0029353F"/>
    <w:rsid w:val="00293E49"/>
    <w:rsid w:val="00293E94"/>
    <w:rsid w:val="00294224"/>
    <w:rsid w:val="002946E4"/>
    <w:rsid w:val="002948DD"/>
    <w:rsid w:val="002951D8"/>
    <w:rsid w:val="0029542D"/>
    <w:rsid w:val="002955AE"/>
    <w:rsid w:val="00296315"/>
    <w:rsid w:val="002A0191"/>
    <w:rsid w:val="002A0642"/>
    <w:rsid w:val="002A1131"/>
    <w:rsid w:val="002A122E"/>
    <w:rsid w:val="002A2533"/>
    <w:rsid w:val="002A2968"/>
    <w:rsid w:val="002A3200"/>
    <w:rsid w:val="002A37FA"/>
    <w:rsid w:val="002A3DEA"/>
    <w:rsid w:val="002A448D"/>
    <w:rsid w:val="002A45B8"/>
    <w:rsid w:val="002A5519"/>
    <w:rsid w:val="002A5B57"/>
    <w:rsid w:val="002A5EA6"/>
    <w:rsid w:val="002A69CB"/>
    <w:rsid w:val="002A799F"/>
    <w:rsid w:val="002A7A4E"/>
    <w:rsid w:val="002A7AFB"/>
    <w:rsid w:val="002B00A4"/>
    <w:rsid w:val="002B02A4"/>
    <w:rsid w:val="002B0813"/>
    <w:rsid w:val="002B163A"/>
    <w:rsid w:val="002B32DA"/>
    <w:rsid w:val="002B378A"/>
    <w:rsid w:val="002B3852"/>
    <w:rsid w:val="002B4330"/>
    <w:rsid w:val="002B48A6"/>
    <w:rsid w:val="002B5B00"/>
    <w:rsid w:val="002B5E5B"/>
    <w:rsid w:val="002B6F97"/>
    <w:rsid w:val="002B7CBA"/>
    <w:rsid w:val="002C09CE"/>
    <w:rsid w:val="002C0C08"/>
    <w:rsid w:val="002C2218"/>
    <w:rsid w:val="002C273A"/>
    <w:rsid w:val="002C2A1A"/>
    <w:rsid w:val="002C2CEF"/>
    <w:rsid w:val="002C31C9"/>
    <w:rsid w:val="002C321B"/>
    <w:rsid w:val="002C457F"/>
    <w:rsid w:val="002C4A39"/>
    <w:rsid w:val="002C60D3"/>
    <w:rsid w:val="002C6EE3"/>
    <w:rsid w:val="002C7562"/>
    <w:rsid w:val="002C76EE"/>
    <w:rsid w:val="002C7737"/>
    <w:rsid w:val="002D0CA8"/>
    <w:rsid w:val="002D0E60"/>
    <w:rsid w:val="002D1172"/>
    <w:rsid w:val="002D149D"/>
    <w:rsid w:val="002D15DA"/>
    <w:rsid w:val="002D2C48"/>
    <w:rsid w:val="002D341E"/>
    <w:rsid w:val="002D3468"/>
    <w:rsid w:val="002D37E4"/>
    <w:rsid w:val="002D463A"/>
    <w:rsid w:val="002D4F90"/>
    <w:rsid w:val="002D5BD4"/>
    <w:rsid w:val="002D5F48"/>
    <w:rsid w:val="002D7080"/>
    <w:rsid w:val="002D7CB6"/>
    <w:rsid w:val="002E0842"/>
    <w:rsid w:val="002E0DA4"/>
    <w:rsid w:val="002E2305"/>
    <w:rsid w:val="002E27EF"/>
    <w:rsid w:val="002E3138"/>
    <w:rsid w:val="002E333A"/>
    <w:rsid w:val="002E3D1F"/>
    <w:rsid w:val="002E4293"/>
    <w:rsid w:val="002E44AB"/>
    <w:rsid w:val="002E6207"/>
    <w:rsid w:val="002E6AC3"/>
    <w:rsid w:val="002E6E40"/>
    <w:rsid w:val="002F069A"/>
    <w:rsid w:val="002F0A03"/>
    <w:rsid w:val="002F0C8E"/>
    <w:rsid w:val="002F1CB0"/>
    <w:rsid w:val="002F2DB9"/>
    <w:rsid w:val="002F3462"/>
    <w:rsid w:val="002F36AE"/>
    <w:rsid w:val="002F4AE0"/>
    <w:rsid w:val="002F4C65"/>
    <w:rsid w:val="002F4E54"/>
    <w:rsid w:val="002F537C"/>
    <w:rsid w:val="002F59D2"/>
    <w:rsid w:val="002F5AF0"/>
    <w:rsid w:val="003001FF"/>
    <w:rsid w:val="0030172C"/>
    <w:rsid w:val="00301EF3"/>
    <w:rsid w:val="003039FC"/>
    <w:rsid w:val="00304074"/>
    <w:rsid w:val="003064FC"/>
    <w:rsid w:val="00306BE5"/>
    <w:rsid w:val="00306CCE"/>
    <w:rsid w:val="003077BA"/>
    <w:rsid w:val="00307DB9"/>
    <w:rsid w:val="0031067D"/>
    <w:rsid w:val="00310874"/>
    <w:rsid w:val="003108C4"/>
    <w:rsid w:val="00310F80"/>
    <w:rsid w:val="0031134E"/>
    <w:rsid w:val="0031211E"/>
    <w:rsid w:val="003125D6"/>
    <w:rsid w:val="0031341E"/>
    <w:rsid w:val="00313DA3"/>
    <w:rsid w:val="00313F1F"/>
    <w:rsid w:val="00315B6D"/>
    <w:rsid w:val="00316514"/>
    <w:rsid w:val="00316E78"/>
    <w:rsid w:val="00317B92"/>
    <w:rsid w:val="00317E11"/>
    <w:rsid w:val="00320628"/>
    <w:rsid w:val="00320926"/>
    <w:rsid w:val="00321279"/>
    <w:rsid w:val="00321860"/>
    <w:rsid w:val="00321B58"/>
    <w:rsid w:val="00321CB8"/>
    <w:rsid w:val="00322E29"/>
    <w:rsid w:val="00322F80"/>
    <w:rsid w:val="00323F64"/>
    <w:rsid w:val="0032480B"/>
    <w:rsid w:val="00324BC7"/>
    <w:rsid w:val="0032512D"/>
    <w:rsid w:val="0032515C"/>
    <w:rsid w:val="00325A46"/>
    <w:rsid w:val="00325E9E"/>
    <w:rsid w:val="00326169"/>
    <w:rsid w:val="003271F3"/>
    <w:rsid w:val="003317DE"/>
    <w:rsid w:val="00331B0C"/>
    <w:rsid w:val="003322BF"/>
    <w:rsid w:val="00332A25"/>
    <w:rsid w:val="00332AC3"/>
    <w:rsid w:val="0033454A"/>
    <w:rsid w:val="003371E5"/>
    <w:rsid w:val="00337284"/>
    <w:rsid w:val="00337392"/>
    <w:rsid w:val="003379F6"/>
    <w:rsid w:val="00342B41"/>
    <w:rsid w:val="00342BCC"/>
    <w:rsid w:val="00342E1F"/>
    <w:rsid w:val="00343163"/>
    <w:rsid w:val="00345C2E"/>
    <w:rsid w:val="00345CF3"/>
    <w:rsid w:val="00346655"/>
    <w:rsid w:val="0035036F"/>
    <w:rsid w:val="00350BFA"/>
    <w:rsid w:val="0035116A"/>
    <w:rsid w:val="0035209D"/>
    <w:rsid w:val="00352490"/>
    <w:rsid w:val="00352A64"/>
    <w:rsid w:val="00354AEB"/>
    <w:rsid w:val="00354ED7"/>
    <w:rsid w:val="003553A4"/>
    <w:rsid w:val="0035566E"/>
    <w:rsid w:val="00355E37"/>
    <w:rsid w:val="00356453"/>
    <w:rsid w:val="00356525"/>
    <w:rsid w:val="00356689"/>
    <w:rsid w:val="00356B40"/>
    <w:rsid w:val="00357405"/>
    <w:rsid w:val="00360245"/>
    <w:rsid w:val="003616F6"/>
    <w:rsid w:val="0036191A"/>
    <w:rsid w:val="00361C1B"/>
    <w:rsid w:val="0036347E"/>
    <w:rsid w:val="003636FC"/>
    <w:rsid w:val="00363D01"/>
    <w:rsid w:val="00363F14"/>
    <w:rsid w:val="00364469"/>
    <w:rsid w:val="00364D47"/>
    <w:rsid w:val="00365A53"/>
    <w:rsid w:val="00366A47"/>
    <w:rsid w:val="00370E41"/>
    <w:rsid w:val="0037156B"/>
    <w:rsid w:val="00372DF3"/>
    <w:rsid w:val="003744E2"/>
    <w:rsid w:val="0037467F"/>
    <w:rsid w:val="00375425"/>
    <w:rsid w:val="00375E9F"/>
    <w:rsid w:val="00376D1F"/>
    <w:rsid w:val="00376D3E"/>
    <w:rsid w:val="00376EC7"/>
    <w:rsid w:val="00376F82"/>
    <w:rsid w:val="00377377"/>
    <w:rsid w:val="00377906"/>
    <w:rsid w:val="00380442"/>
    <w:rsid w:val="00381199"/>
    <w:rsid w:val="003815D6"/>
    <w:rsid w:val="00381913"/>
    <w:rsid w:val="0038193B"/>
    <w:rsid w:val="003828CE"/>
    <w:rsid w:val="003846E6"/>
    <w:rsid w:val="00384D6B"/>
    <w:rsid w:val="00386D1E"/>
    <w:rsid w:val="003874D6"/>
    <w:rsid w:val="00387C31"/>
    <w:rsid w:val="00390385"/>
    <w:rsid w:val="00390631"/>
    <w:rsid w:val="0039139F"/>
    <w:rsid w:val="003926CA"/>
    <w:rsid w:val="003928B1"/>
    <w:rsid w:val="00392C47"/>
    <w:rsid w:val="00392CE8"/>
    <w:rsid w:val="003939F9"/>
    <w:rsid w:val="00394822"/>
    <w:rsid w:val="00394977"/>
    <w:rsid w:val="00394D3C"/>
    <w:rsid w:val="00394DE3"/>
    <w:rsid w:val="003951B1"/>
    <w:rsid w:val="003956B7"/>
    <w:rsid w:val="00396C33"/>
    <w:rsid w:val="00397A43"/>
    <w:rsid w:val="003A0C91"/>
    <w:rsid w:val="003A0CE8"/>
    <w:rsid w:val="003A0E1A"/>
    <w:rsid w:val="003A14AE"/>
    <w:rsid w:val="003A1942"/>
    <w:rsid w:val="003A2181"/>
    <w:rsid w:val="003A34BA"/>
    <w:rsid w:val="003A3515"/>
    <w:rsid w:val="003A4009"/>
    <w:rsid w:val="003A541A"/>
    <w:rsid w:val="003A76D1"/>
    <w:rsid w:val="003A7A77"/>
    <w:rsid w:val="003B0870"/>
    <w:rsid w:val="003B0A3F"/>
    <w:rsid w:val="003B14C7"/>
    <w:rsid w:val="003B2221"/>
    <w:rsid w:val="003B2B64"/>
    <w:rsid w:val="003B3E64"/>
    <w:rsid w:val="003B4014"/>
    <w:rsid w:val="003B4388"/>
    <w:rsid w:val="003B4AE6"/>
    <w:rsid w:val="003B53DF"/>
    <w:rsid w:val="003B5FE6"/>
    <w:rsid w:val="003B72E2"/>
    <w:rsid w:val="003C1592"/>
    <w:rsid w:val="003C1A51"/>
    <w:rsid w:val="003C2667"/>
    <w:rsid w:val="003C32E5"/>
    <w:rsid w:val="003C337A"/>
    <w:rsid w:val="003C3DC9"/>
    <w:rsid w:val="003C4C5B"/>
    <w:rsid w:val="003C71B8"/>
    <w:rsid w:val="003C7AF3"/>
    <w:rsid w:val="003D087F"/>
    <w:rsid w:val="003D0F0B"/>
    <w:rsid w:val="003D1367"/>
    <w:rsid w:val="003D1ABA"/>
    <w:rsid w:val="003D2072"/>
    <w:rsid w:val="003D25D7"/>
    <w:rsid w:val="003D2748"/>
    <w:rsid w:val="003D2E1D"/>
    <w:rsid w:val="003D597F"/>
    <w:rsid w:val="003D638C"/>
    <w:rsid w:val="003D6462"/>
    <w:rsid w:val="003D72D9"/>
    <w:rsid w:val="003D7908"/>
    <w:rsid w:val="003E0355"/>
    <w:rsid w:val="003E0784"/>
    <w:rsid w:val="003E1684"/>
    <w:rsid w:val="003E2235"/>
    <w:rsid w:val="003E2CF9"/>
    <w:rsid w:val="003E3CE5"/>
    <w:rsid w:val="003E42CB"/>
    <w:rsid w:val="003E49CB"/>
    <w:rsid w:val="003E4AC0"/>
    <w:rsid w:val="003E4D98"/>
    <w:rsid w:val="003E51F0"/>
    <w:rsid w:val="003E542D"/>
    <w:rsid w:val="003E5B82"/>
    <w:rsid w:val="003E5D6F"/>
    <w:rsid w:val="003E68D8"/>
    <w:rsid w:val="003E7422"/>
    <w:rsid w:val="003E7EBE"/>
    <w:rsid w:val="003E7FC4"/>
    <w:rsid w:val="003F0522"/>
    <w:rsid w:val="003F1844"/>
    <w:rsid w:val="003F1CE0"/>
    <w:rsid w:val="003F2053"/>
    <w:rsid w:val="003F22E6"/>
    <w:rsid w:val="003F3B82"/>
    <w:rsid w:val="003F5061"/>
    <w:rsid w:val="003F5448"/>
    <w:rsid w:val="003F546D"/>
    <w:rsid w:val="003F62B7"/>
    <w:rsid w:val="003F6D04"/>
    <w:rsid w:val="004003E0"/>
    <w:rsid w:val="004006A9"/>
    <w:rsid w:val="00401257"/>
    <w:rsid w:val="00401949"/>
    <w:rsid w:val="00401B48"/>
    <w:rsid w:val="004027A3"/>
    <w:rsid w:val="00402A9C"/>
    <w:rsid w:val="00402C74"/>
    <w:rsid w:val="004030DB"/>
    <w:rsid w:val="004032B1"/>
    <w:rsid w:val="00403849"/>
    <w:rsid w:val="004038BD"/>
    <w:rsid w:val="004044F2"/>
    <w:rsid w:val="004052E3"/>
    <w:rsid w:val="0040577D"/>
    <w:rsid w:val="00405F9B"/>
    <w:rsid w:val="00406B46"/>
    <w:rsid w:val="0041018E"/>
    <w:rsid w:val="00410299"/>
    <w:rsid w:val="0041036F"/>
    <w:rsid w:val="0041076B"/>
    <w:rsid w:val="00410EE6"/>
    <w:rsid w:val="00411039"/>
    <w:rsid w:val="004113B8"/>
    <w:rsid w:val="00411584"/>
    <w:rsid w:val="00411B71"/>
    <w:rsid w:val="00412160"/>
    <w:rsid w:val="0041219A"/>
    <w:rsid w:val="0041242E"/>
    <w:rsid w:val="00412E4C"/>
    <w:rsid w:val="00413727"/>
    <w:rsid w:val="00413F25"/>
    <w:rsid w:val="004143AC"/>
    <w:rsid w:val="00415002"/>
    <w:rsid w:val="0041534E"/>
    <w:rsid w:val="00415748"/>
    <w:rsid w:val="004166EE"/>
    <w:rsid w:val="00416D6B"/>
    <w:rsid w:val="00416F0A"/>
    <w:rsid w:val="00416F25"/>
    <w:rsid w:val="00417525"/>
    <w:rsid w:val="004176E0"/>
    <w:rsid w:val="00420A76"/>
    <w:rsid w:val="00422181"/>
    <w:rsid w:val="00423D7D"/>
    <w:rsid w:val="00423DE8"/>
    <w:rsid w:val="00423F24"/>
    <w:rsid w:val="00424E0B"/>
    <w:rsid w:val="0042626D"/>
    <w:rsid w:val="00426900"/>
    <w:rsid w:val="00426F75"/>
    <w:rsid w:val="00431A6B"/>
    <w:rsid w:val="00431C8C"/>
    <w:rsid w:val="00431DE6"/>
    <w:rsid w:val="0043261C"/>
    <w:rsid w:val="004335F1"/>
    <w:rsid w:val="00433FBC"/>
    <w:rsid w:val="00435E38"/>
    <w:rsid w:val="004375E3"/>
    <w:rsid w:val="00437870"/>
    <w:rsid w:val="004411A3"/>
    <w:rsid w:val="00442CAB"/>
    <w:rsid w:val="00443283"/>
    <w:rsid w:val="00444374"/>
    <w:rsid w:val="00445090"/>
    <w:rsid w:val="0044543C"/>
    <w:rsid w:val="0044565A"/>
    <w:rsid w:val="00445672"/>
    <w:rsid w:val="00447ACA"/>
    <w:rsid w:val="00450601"/>
    <w:rsid w:val="004506A5"/>
    <w:rsid w:val="0045079A"/>
    <w:rsid w:val="00450CA2"/>
    <w:rsid w:val="00450EF8"/>
    <w:rsid w:val="00451419"/>
    <w:rsid w:val="00451D77"/>
    <w:rsid w:val="0045249A"/>
    <w:rsid w:val="00452736"/>
    <w:rsid w:val="004527A0"/>
    <w:rsid w:val="00452FCB"/>
    <w:rsid w:val="00454602"/>
    <w:rsid w:val="0045502D"/>
    <w:rsid w:val="00456090"/>
    <w:rsid w:val="0045651A"/>
    <w:rsid w:val="00457092"/>
    <w:rsid w:val="00457EDC"/>
    <w:rsid w:val="004600CF"/>
    <w:rsid w:val="004607E1"/>
    <w:rsid w:val="00460B93"/>
    <w:rsid w:val="00460EB5"/>
    <w:rsid w:val="004611F4"/>
    <w:rsid w:val="0046128D"/>
    <w:rsid w:val="004613B0"/>
    <w:rsid w:val="0046199F"/>
    <w:rsid w:val="00461CA4"/>
    <w:rsid w:val="00462325"/>
    <w:rsid w:val="00464991"/>
    <w:rsid w:val="00464C41"/>
    <w:rsid w:val="004658C7"/>
    <w:rsid w:val="00466320"/>
    <w:rsid w:val="00466458"/>
    <w:rsid w:val="004669DE"/>
    <w:rsid w:val="00467AED"/>
    <w:rsid w:val="00470018"/>
    <w:rsid w:val="00470151"/>
    <w:rsid w:val="00470912"/>
    <w:rsid w:val="004727AF"/>
    <w:rsid w:val="00472A1A"/>
    <w:rsid w:val="004735A5"/>
    <w:rsid w:val="00474D04"/>
    <w:rsid w:val="004756EC"/>
    <w:rsid w:val="00476080"/>
    <w:rsid w:val="00476B27"/>
    <w:rsid w:val="004771D8"/>
    <w:rsid w:val="0047798D"/>
    <w:rsid w:val="0048001A"/>
    <w:rsid w:val="004805AA"/>
    <w:rsid w:val="00481C8A"/>
    <w:rsid w:val="00481CC6"/>
    <w:rsid w:val="004823EC"/>
    <w:rsid w:val="004824ED"/>
    <w:rsid w:val="00483058"/>
    <w:rsid w:val="0048386E"/>
    <w:rsid w:val="0048405F"/>
    <w:rsid w:val="004849D7"/>
    <w:rsid w:val="00484ACB"/>
    <w:rsid w:val="0048504B"/>
    <w:rsid w:val="004851C4"/>
    <w:rsid w:val="00485C61"/>
    <w:rsid w:val="0048690C"/>
    <w:rsid w:val="00486AAD"/>
    <w:rsid w:val="0048783B"/>
    <w:rsid w:val="0049065D"/>
    <w:rsid w:val="00491867"/>
    <w:rsid w:val="00495C55"/>
    <w:rsid w:val="004966DC"/>
    <w:rsid w:val="00496F0A"/>
    <w:rsid w:val="00496F7F"/>
    <w:rsid w:val="004A0015"/>
    <w:rsid w:val="004A01F0"/>
    <w:rsid w:val="004A0C08"/>
    <w:rsid w:val="004A2881"/>
    <w:rsid w:val="004A314B"/>
    <w:rsid w:val="004A4D13"/>
    <w:rsid w:val="004A4F5C"/>
    <w:rsid w:val="004A5244"/>
    <w:rsid w:val="004A5B4A"/>
    <w:rsid w:val="004A613B"/>
    <w:rsid w:val="004A687F"/>
    <w:rsid w:val="004A6D0E"/>
    <w:rsid w:val="004B0831"/>
    <w:rsid w:val="004B0A01"/>
    <w:rsid w:val="004B0D61"/>
    <w:rsid w:val="004B1622"/>
    <w:rsid w:val="004B2460"/>
    <w:rsid w:val="004B2966"/>
    <w:rsid w:val="004B3CE0"/>
    <w:rsid w:val="004B4FCA"/>
    <w:rsid w:val="004B5319"/>
    <w:rsid w:val="004B5741"/>
    <w:rsid w:val="004B5931"/>
    <w:rsid w:val="004B68DE"/>
    <w:rsid w:val="004C134B"/>
    <w:rsid w:val="004C1C14"/>
    <w:rsid w:val="004C35BE"/>
    <w:rsid w:val="004C45DB"/>
    <w:rsid w:val="004C53EB"/>
    <w:rsid w:val="004C5E83"/>
    <w:rsid w:val="004C6096"/>
    <w:rsid w:val="004C66C9"/>
    <w:rsid w:val="004C6B81"/>
    <w:rsid w:val="004C6CE5"/>
    <w:rsid w:val="004C7BE3"/>
    <w:rsid w:val="004C7DEE"/>
    <w:rsid w:val="004D075C"/>
    <w:rsid w:val="004D1CA8"/>
    <w:rsid w:val="004D1D96"/>
    <w:rsid w:val="004D1EE9"/>
    <w:rsid w:val="004D2349"/>
    <w:rsid w:val="004D2727"/>
    <w:rsid w:val="004D2B2A"/>
    <w:rsid w:val="004D2C50"/>
    <w:rsid w:val="004D3325"/>
    <w:rsid w:val="004D372A"/>
    <w:rsid w:val="004D3ABE"/>
    <w:rsid w:val="004D3F10"/>
    <w:rsid w:val="004D4300"/>
    <w:rsid w:val="004D43B2"/>
    <w:rsid w:val="004D48AD"/>
    <w:rsid w:val="004D60DC"/>
    <w:rsid w:val="004D68EE"/>
    <w:rsid w:val="004D6B64"/>
    <w:rsid w:val="004D7284"/>
    <w:rsid w:val="004D7673"/>
    <w:rsid w:val="004D7898"/>
    <w:rsid w:val="004D7A2F"/>
    <w:rsid w:val="004E1C4E"/>
    <w:rsid w:val="004E2AF4"/>
    <w:rsid w:val="004E3180"/>
    <w:rsid w:val="004E3207"/>
    <w:rsid w:val="004E3574"/>
    <w:rsid w:val="004E358F"/>
    <w:rsid w:val="004E4EDA"/>
    <w:rsid w:val="004E610A"/>
    <w:rsid w:val="004E6BA7"/>
    <w:rsid w:val="004E78EF"/>
    <w:rsid w:val="004E7985"/>
    <w:rsid w:val="004E7C45"/>
    <w:rsid w:val="004E7D98"/>
    <w:rsid w:val="004F0048"/>
    <w:rsid w:val="004F110D"/>
    <w:rsid w:val="004F4661"/>
    <w:rsid w:val="004F4EAF"/>
    <w:rsid w:val="004F5A42"/>
    <w:rsid w:val="004F5C4B"/>
    <w:rsid w:val="004F5FA7"/>
    <w:rsid w:val="004F5FDB"/>
    <w:rsid w:val="004F60B3"/>
    <w:rsid w:val="004F6385"/>
    <w:rsid w:val="004F6912"/>
    <w:rsid w:val="004F7F08"/>
    <w:rsid w:val="005001B0"/>
    <w:rsid w:val="00500B03"/>
    <w:rsid w:val="00500B9F"/>
    <w:rsid w:val="00501E84"/>
    <w:rsid w:val="00501F78"/>
    <w:rsid w:val="005029FF"/>
    <w:rsid w:val="00503DBA"/>
    <w:rsid w:val="005043AC"/>
    <w:rsid w:val="005047D1"/>
    <w:rsid w:val="005047EC"/>
    <w:rsid w:val="00504A3F"/>
    <w:rsid w:val="005062A5"/>
    <w:rsid w:val="00506491"/>
    <w:rsid w:val="005065E4"/>
    <w:rsid w:val="00506780"/>
    <w:rsid w:val="00506DCF"/>
    <w:rsid w:val="00507750"/>
    <w:rsid w:val="0050780F"/>
    <w:rsid w:val="00511376"/>
    <w:rsid w:val="00512024"/>
    <w:rsid w:val="00512AA0"/>
    <w:rsid w:val="00513186"/>
    <w:rsid w:val="005133A8"/>
    <w:rsid w:val="005134AF"/>
    <w:rsid w:val="00513815"/>
    <w:rsid w:val="00515628"/>
    <w:rsid w:val="00516147"/>
    <w:rsid w:val="00517B1C"/>
    <w:rsid w:val="00520722"/>
    <w:rsid w:val="00520725"/>
    <w:rsid w:val="00520D59"/>
    <w:rsid w:val="00520E1C"/>
    <w:rsid w:val="005214F1"/>
    <w:rsid w:val="00521E9C"/>
    <w:rsid w:val="005226CF"/>
    <w:rsid w:val="0052426C"/>
    <w:rsid w:val="005243B3"/>
    <w:rsid w:val="00524477"/>
    <w:rsid w:val="0052458A"/>
    <w:rsid w:val="005245F8"/>
    <w:rsid w:val="005256FA"/>
    <w:rsid w:val="00525823"/>
    <w:rsid w:val="00526093"/>
    <w:rsid w:val="00526419"/>
    <w:rsid w:val="00527653"/>
    <w:rsid w:val="00527AF1"/>
    <w:rsid w:val="00527BCD"/>
    <w:rsid w:val="00527C8D"/>
    <w:rsid w:val="00530A0C"/>
    <w:rsid w:val="0053138A"/>
    <w:rsid w:val="005313D6"/>
    <w:rsid w:val="005316BD"/>
    <w:rsid w:val="005320F3"/>
    <w:rsid w:val="00532413"/>
    <w:rsid w:val="00532626"/>
    <w:rsid w:val="00533125"/>
    <w:rsid w:val="005336B2"/>
    <w:rsid w:val="00533A22"/>
    <w:rsid w:val="0053475E"/>
    <w:rsid w:val="005352B3"/>
    <w:rsid w:val="005359A8"/>
    <w:rsid w:val="00535EF2"/>
    <w:rsid w:val="00536742"/>
    <w:rsid w:val="005367FB"/>
    <w:rsid w:val="005372CA"/>
    <w:rsid w:val="00537833"/>
    <w:rsid w:val="00541777"/>
    <w:rsid w:val="005420C2"/>
    <w:rsid w:val="005425DA"/>
    <w:rsid w:val="00543048"/>
    <w:rsid w:val="00543FD9"/>
    <w:rsid w:val="005450CA"/>
    <w:rsid w:val="0054562C"/>
    <w:rsid w:val="00545650"/>
    <w:rsid w:val="00545CF5"/>
    <w:rsid w:val="00546524"/>
    <w:rsid w:val="00547202"/>
    <w:rsid w:val="005475A0"/>
    <w:rsid w:val="00547664"/>
    <w:rsid w:val="00547A32"/>
    <w:rsid w:val="00550101"/>
    <w:rsid w:val="00550AE8"/>
    <w:rsid w:val="005519B8"/>
    <w:rsid w:val="00552094"/>
    <w:rsid w:val="005523B7"/>
    <w:rsid w:val="0055328A"/>
    <w:rsid w:val="00555068"/>
    <w:rsid w:val="0055524F"/>
    <w:rsid w:val="005556AC"/>
    <w:rsid w:val="005568DF"/>
    <w:rsid w:val="00556D4F"/>
    <w:rsid w:val="005577CE"/>
    <w:rsid w:val="005579E4"/>
    <w:rsid w:val="005602A9"/>
    <w:rsid w:val="0056067F"/>
    <w:rsid w:val="005608BA"/>
    <w:rsid w:val="00561278"/>
    <w:rsid w:val="005636C1"/>
    <w:rsid w:val="00563A34"/>
    <w:rsid w:val="00563FCB"/>
    <w:rsid w:val="005646FE"/>
    <w:rsid w:val="00564A47"/>
    <w:rsid w:val="00564C22"/>
    <w:rsid w:val="00564E19"/>
    <w:rsid w:val="00565532"/>
    <w:rsid w:val="00565C4D"/>
    <w:rsid w:val="0056622E"/>
    <w:rsid w:val="00566AE2"/>
    <w:rsid w:val="00567164"/>
    <w:rsid w:val="0057063F"/>
    <w:rsid w:val="00572017"/>
    <w:rsid w:val="00574A06"/>
    <w:rsid w:val="0057542F"/>
    <w:rsid w:val="005766B0"/>
    <w:rsid w:val="00576907"/>
    <w:rsid w:val="00576AA3"/>
    <w:rsid w:val="00577349"/>
    <w:rsid w:val="00577947"/>
    <w:rsid w:val="0058014A"/>
    <w:rsid w:val="00581655"/>
    <w:rsid w:val="005830CD"/>
    <w:rsid w:val="00583278"/>
    <w:rsid w:val="00583A27"/>
    <w:rsid w:val="00583F73"/>
    <w:rsid w:val="00584AB4"/>
    <w:rsid w:val="00584ED3"/>
    <w:rsid w:val="00584FF7"/>
    <w:rsid w:val="005851C5"/>
    <w:rsid w:val="005854CA"/>
    <w:rsid w:val="0058600C"/>
    <w:rsid w:val="00586298"/>
    <w:rsid w:val="00587390"/>
    <w:rsid w:val="00587DD3"/>
    <w:rsid w:val="005906E3"/>
    <w:rsid w:val="0059073D"/>
    <w:rsid w:val="00592FBE"/>
    <w:rsid w:val="00593BA8"/>
    <w:rsid w:val="00594288"/>
    <w:rsid w:val="00595C95"/>
    <w:rsid w:val="005962F9"/>
    <w:rsid w:val="00596B67"/>
    <w:rsid w:val="00596F08"/>
    <w:rsid w:val="00596FC5"/>
    <w:rsid w:val="005970B9"/>
    <w:rsid w:val="005973B9"/>
    <w:rsid w:val="0059797E"/>
    <w:rsid w:val="00597C44"/>
    <w:rsid w:val="00597D98"/>
    <w:rsid w:val="005A051C"/>
    <w:rsid w:val="005A0E29"/>
    <w:rsid w:val="005A268E"/>
    <w:rsid w:val="005A26FC"/>
    <w:rsid w:val="005A4509"/>
    <w:rsid w:val="005A5375"/>
    <w:rsid w:val="005A5831"/>
    <w:rsid w:val="005A626B"/>
    <w:rsid w:val="005A759C"/>
    <w:rsid w:val="005A7EBE"/>
    <w:rsid w:val="005A7FAF"/>
    <w:rsid w:val="005B0A0F"/>
    <w:rsid w:val="005B0D53"/>
    <w:rsid w:val="005B1BE7"/>
    <w:rsid w:val="005B1FCF"/>
    <w:rsid w:val="005B2186"/>
    <w:rsid w:val="005B2CA2"/>
    <w:rsid w:val="005B2DED"/>
    <w:rsid w:val="005B4A38"/>
    <w:rsid w:val="005B5023"/>
    <w:rsid w:val="005B5E73"/>
    <w:rsid w:val="005B6278"/>
    <w:rsid w:val="005B6586"/>
    <w:rsid w:val="005B77D6"/>
    <w:rsid w:val="005C094B"/>
    <w:rsid w:val="005C0BD4"/>
    <w:rsid w:val="005C21A9"/>
    <w:rsid w:val="005C27D9"/>
    <w:rsid w:val="005C2945"/>
    <w:rsid w:val="005C2A9A"/>
    <w:rsid w:val="005C3202"/>
    <w:rsid w:val="005C40E8"/>
    <w:rsid w:val="005C5251"/>
    <w:rsid w:val="005C5E20"/>
    <w:rsid w:val="005C63D7"/>
    <w:rsid w:val="005C6A0B"/>
    <w:rsid w:val="005D0213"/>
    <w:rsid w:val="005D0629"/>
    <w:rsid w:val="005D15F9"/>
    <w:rsid w:val="005D1A81"/>
    <w:rsid w:val="005D1DA8"/>
    <w:rsid w:val="005D1E00"/>
    <w:rsid w:val="005D2505"/>
    <w:rsid w:val="005D2746"/>
    <w:rsid w:val="005D2B7E"/>
    <w:rsid w:val="005D35F4"/>
    <w:rsid w:val="005D572F"/>
    <w:rsid w:val="005D7B35"/>
    <w:rsid w:val="005D7DDA"/>
    <w:rsid w:val="005E08BB"/>
    <w:rsid w:val="005E0B52"/>
    <w:rsid w:val="005E0B92"/>
    <w:rsid w:val="005E0E0A"/>
    <w:rsid w:val="005E126B"/>
    <w:rsid w:val="005E193E"/>
    <w:rsid w:val="005E1AE2"/>
    <w:rsid w:val="005E1C59"/>
    <w:rsid w:val="005E2EDA"/>
    <w:rsid w:val="005E35C2"/>
    <w:rsid w:val="005E4CDC"/>
    <w:rsid w:val="005E7649"/>
    <w:rsid w:val="005E77AE"/>
    <w:rsid w:val="005E77C4"/>
    <w:rsid w:val="005F077F"/>
    <w:rsid w:val="005F1F5B"/>
    <w:rsid w:val="005F20DC"/>
    <w:rsid w:val="005F2320"/>
    <w:rsid w:val="005F2C45"/>
    <w:rsid w:val="005F450C"/>
    <w:rsid w:val="005F57C1"/>
    <w:rsid w:val="005F5FDB"/>
    <w:rsid w:val="005F664B"/>
    <w:rsid w:val="005F6726"/>
    <w:rsid w:val="005F7C13"/>
    <w:rsid w:val="00600706"/>
    <w:rsid w:val="00600902"/>
    <w:rsid w:val="006014B2"/>
    <w:rsid w:val="00602DA5"/>
    <w:rsid w:val="00603967"/>
    <w:rsid w:val="00603B7D"/>
    <w:rsid w:val="006050CB"/>
    <w:rsid w:val="006051B3"/>
    <w:rsid w:val="00606A28"/>
    <w:rsid w:val="00607DA9"/>
    <w:rsid w:val="00610977"/>
    <w:rsid w:val="00610FB9"/>
    <w:rsid w:val="006110C3"/>
    <w:rsid w:val="006117C5"/>
    <w:rsid w:val="00613257"/>
    <w:rsid w:val="006146FE"/>
    <w:rsid w:val="006155D9"/>
    <w:rsid w:val="006168EE"/>
    <w:rsid w:val="00616A95"/>
    <w:rsid w:val="00620BC7"/>
    <w:rsid w:val="00621DA3"/>
    <w:rsid w:val="00623761"/>
    <w:rsid w:val="0062422B"/>
    <w:rsid w:val="006244BA"/>
    <w:rsid w:val="006247C0"/>
    <w:rsid w:val="00624C36"/>
    <w:rsid w:val="00624E0A"/>
    <w:rsid w:val="00624FBE"/>
    <w:rsid w:val="006254D8"/>
    <w:rsid w:val="00625752"/>
    <w:rsid w:val="00625ECF"/>
    <w:rsid w:val="00626095"/>
    <w:rsid w:val="0062650B"/>
    <w:rsid w:val="00627164"/>
    <w:rsid w:val="006272CA"/>
    <w:rsid w:val="006300BC"/>
    <w:rsid w:val="006305E8"/>
    <w:rsid w:val="0063142C"/>
    <w:rsid w:val="006325F0"/>
    <w:rsid w:val="00632CCD"/>
    <w:rsid w:val="00632D91"/>
    <w:rsid w:val="00634256"/>
    <w:rsid w:val="00635799"/>
    <w:rsid w:val="00635EC5"/>
    <w:rsid w:val="006367B7"/>
    <w:rsid w:val="00636CCD"/>
    <w:rsid w:val="00640FDC"/>
    <w:rsid w:val="006417C6"/>
    <w:rsid w:val="0064241E"/>
    <w:rsid w:val="00642EA3"/>
    <w:rsid w:val="006431A1"/>
    <w:rsid w:val="00643386"/>
    <w:rsid w:val="00643FF2"/>
    <w:rsid w:val="00644662"/>
    <w:rsid w:val="0064479A"/>
    <w:rsid w:val="00644AFE"/>
    <w:rsid w:val="00644FC1"/>
    <w:rsid w:val="00645533"/>
    <w:rsid w:val="0064571F"/>
    <w:rsid w:val="00646265"/>
    <w:rsid w:val="006465DD"/>
    <w:rsid w:val="00647DE5"/>
    <w:rsid w:val="00651A12"/>
    <w:rsid w:val="00652F2C"/>
    <w:rsid w:val="006538F9"/>
    <w:rsid w:val="00653AD7"/>
    <w:rsid w:val="00655214"/>
    <w:rsid w:val="00655FE2"/>
    <w:rsid w:val="00656213"/>
    <w:rsid w:val="006567DB"/>
    <w:rsid w:val="00656C1E"/>
    <w:rsid w:val="0066060D"/>
    <w:rsid w:val="0066066E"/>
    <w:rsid w:val="0066069B"/>
    <w:rsid w:val="0066085F"/>
    <w:rsid w:val="006642D1"/>
    <w:rsid w:val="00665D07"/>
    <w:rsid w:val="0066626C"/>
    <w:rsid w:val="0066643C"/>
    <w:rsid w:val="00666CCF"/>
    <w:rsid w:val="00667252"/>
    <w:rsid w:val="0066748A"/>
    <w:rsid w:val="00670AB0"/>
    <w:rsid w:val="00672CAB"/>
    <w:rsid w:val="00673977"/>
    <w:rsid w:val="00673B96"/>
    <w:rsid w:val="00673B9B"/>
    <w:rsid w:val="00674296"/>
    <w:rsid w:val="0067464B"/>
    <w:rsid w:val="00674732"/>
    <w:rsid w:val="00674807"/>
    <w:rsid w:val="00675D62"/>
    <w:rsid w:val="00675FE3"/>
    <w:rsid w:val="00677572"/>
    <w:rsid w:val="00677846"/>
    <w:rsid w:val="00677D35"/>
    <w:rsid w:val="00677E9C"/>
    <w:rsid w:val="00677F4B"/>
    <w:rsid w:val="00681DD0"/>
    <w:rsid w:val="006830BC"/>
    <w:rsid w:val="006831B2"/>
    <w:rsid w:val="00683938"/>
    <w:rsid w:val="00683A2E"/>
    <w:rsid w:val="0068492A"/>
    <w:rsid w:val="00684AFF"/>
    <w:rsid w:val="00684BF7"/>
    <w:rsid w:val="00685070"/>
    <w:rsid w:val="0068508E"/>
    <w:rsid w:val="0068532F"/>
    <w:rsid w:val="006853F1"/>
    <w:rsid w:val="00685B27"/>
    <w:rsid w:val="00685B4A"/>
    <w:rsid w:val="006907D7"/>
    <w:rsid w:val="006911FE"/>
    <w:rsid w:val="00691AF0"/>
    <w:rsid w:val="00691D7A"/>
    <w:rsid w:val="0069271C"/>
    <w:rsid w:val="006927A7"/>
    <w:rsid w:val="006928A4"/>
    <w:rsid w:val="00693248"/>
    <w:rsid w:val="00693DD5"/>
    <w:rsid w:val="0069447C"/>
    <w:rsid w:val="006951CE"/>
    <w:rsid w:val="00695363"/>
    <w:rsid w:val="00695371"/>
    <w:rsid w:val="006954A3"/>
    <w:rsid w:val="00695A7A"/>
    <w:rsid w:val="00695C41"/>
    <w:rsid w:val="00697514"/>
    <w:rsid w:val="006A0EF1"/>
    <w:rsid w:val="006A146D"/>
    <w:rsid w:val="006A1FC4"/>
    <w:rsid w:val="006A2FA4"/>
    <w:rsid w:val="006A35D3"/>
    <w:rsid w:val="006A3630"/>
    <w:rsid w:val="006A45C8"/>
    <w:rsid w:val="006A5130"/>
    <w:rsid w:val="006A5864"/>
    <w:rsid w:val="006A5F30"/>
    <w:rsid w:val="006A67E4"/>
    <w:rsid w:val="006A691D"/>
    <w:rsid w:val="006A7047"/>
    <w:rsid w:val="006A71D2"/>
    <w:rsid w:val="006A78B0"/>
    <w:rsid w:val="006B025F"/>
    <w:rsid w:val="006B14C1"/>
    <w:rsid w:val="006B1A44"/>
    <w:rsid w:val="006B4A5E"/>
    <w:rsid w:val="006B4D94"/>
    <w:rsid w:val="006B53D9"/>
    <w:rsid w:val="006B5EC9"/>
    <w:rsid w:val="006B61C1"/>
    <w:rsid w:val="006B6621"/>
    <w:rsid w:val="006B7591"/>
    <w:rsid w:val="006C0690"/>
    <w:rsid w:val="006C15F6"/>
    <w:rsid w:val="006C2946"/>
    <w:rsid w:val="006C317C"/>
    <w:rsid w:val="006C3A74"/>
    <w:rsid w:val="006C51C3"/>
    <w:rsid w:val="006C54A5"/>
    <w:rsid w:val="006C5584"/>
    <w:rsid w:val="006D045C"/>
    <w:rsid w:val="006D0E9D"/>
    <w:rsid w:val="006D18F3"/>
    <w:rsid w:val="006D2DCA"/>
    <w:rsid w:val="006D34C4"/>
    <w:rsid w:val="006D487B"/>
    <w:rsid w:val="006D4A98"/>
    <w:rsid w:val="006D4B3F"/>
    <w:rsid w:val="006D4D55"/>
    <w:rsid w:val="006D4FAA"/>
    <w:rsid w:val="006D5B39"/>
    <w:rsid w:val="006D6CC3"/>
    <w:rsid w:val="006D6EE2"/>
    <w:rsid w:val="006D723F"/>
    <w:rsid w:val="006E00E0"/>
    <w:rsid w:val="006E0A0A"/>
    <w:rsid w:val="006E25A7"/>
    <w:rsid w:val="006E2823"/>
    <w:rsid w:val="006E3170"/>
    <w:rsid w:val="006E341F"/>
    <w:rsid w:val="006E4BF1"/>
    <w:rsid w:val="006E4C5B"/>
    <w:rsid w:val="006E5051"/>
    <w:rsid w:val="006E5D44"/>
    <w:rsid w:val="006E7875"/>
    <w:rsid w:val="006E7C4E"/>
    <w:rsid w:val="006F24ED"/>
    <w:rsid w:val="006F3327"/>
    <w:rsid w:val="006F5A5C"/>
    <w:rsid w:val="006F6A70"/>
    <w:rsid w:val="006F7C90"/>
    <w:rsid w:val="006F7FAF"/>
    <w:rsid w:val="007004CA"/>
    <w:rsid w:val="00700900"/>
    <w:rsid w:val="00701102"/>
    <w:rsid w:val="00701473"/>
    <w:rsid w:val="00701B11"/>
    <w:rsid w:val="00701F94"/>
    <w:rsid w:val="0070264B"/>
    <w:rsid w:val="007031F4"/>
    <w:rsid w:val="00703625"/>
    <w:rsid w:val="007039FD"/>
    <w:rsid w:val="007040D1"/>
    <w:rsid w:val="0070446C"/>
    <w:rsid w:val="007051F4"/>
    <w:rsid w:val="00705237"/>
    <w:rsid w:val="00705DEF"/>
    <w:rsid w:val="00707D6D"/>
    <w:rsid w:val="00711450"/>
    <w:rsid w:val="007125DB"/>
    <w:rsid w:val="007139AA"/>
    <w:rsid w:val="00713EF5"/>
    <w:rsid w:val="00714A68"/>
    <w:rsid w:val="007151C3"/>
    <w:rsid w:val="007157DD"/>
    <w:rsid w:val="007157DE"/>
    <w:rsid w:val="00717765"/>
    <w:rsid w:val="0072032E"/>
    <w:rsid w:val="0072180D"/>
    <w:rsid w:val="00721BDB"/>
    <w:rsid w:val="00721CF1"/>
    <w:rsid w:val="007227C8"/>
    <w:rsid w:val="00722FD1"/>
    <w:rsid w:val="00723558"/>
    <w:rsid w:val="00723B08"/>
    <w:rsid w:val="00723F67"/>
    <w:rsid w:val="00724326"/>
    <w:rsid w:val="007245BA"/>
    <w:rsid w:val="0072466A"/>
    <w:rsid w:val="00725793"/>
    <w:rsid w:val="007257F7"/>
    <w:rsid w:val="00726892"/>
    <w:rsid w:val="00730A5B"/>
    <w:rsid w:val="00731348"/>
    <w:rsid w:val="00731395"/>
    <w:rsid w:val="00731547"/>
    <w:rsid w:val="00731D34"/>
    <w:rsid w:val="00732699"/>
    <w:rsid w:val="007330B8"/>
    <w:rsid w:val="007333A2"/>
    <w:rsid w:val="00734407"/>
    <w:rsid w:val="0073542A"/>
    <w:rsid w:val="007366C6"/>
    <w:rsid w:val="007367EA"/>
    <w:rsid w:val="007371AA"/>
    <w:rsid w:val="00737DE3"/>
    <w:rsid w:val="00740FD4"/>
    <w:rsid w:val="00741885"/>
    <w:rsid w:val="00741EC8"/>
    <w:rsid w:val="00742503"/>
    <w:rsid w:val="00743527"/>
    <w:rsid w:val="007437DC"/>
    <w:rsid w:val="00743D23"/>
    <w:rsid w:val="00743FB0"/>
    <w:rsid w:val="0074450D"/>
    <w:rsid w:val="00744D63"/>
    <w:rsid w:val="00744DD6"/>
    <w:rsid w:val="00744FA3"/>
    <w:rsid w:val="007451A3"/>
    <w:rsid w:val="00745CDE"/>
    <w:rsid w:val="00746103"/>
    <w:rsid w:val="00747C3D"/>
    <w:rsid w:val="00747DB2"/>
    <w:rsid w:val="0075057A"/>
    <w:rsid w:val="0075111E"/>
    <w:rsid w:val="00751653"/>
    <w:rsid w:val="007517A7"/>
    <w:rsid w:val="00752B07"/>
    <w:rsid w:val="0075310C"/>
    <w:rsid w:val="007538A9"/>
    <w:rsid w:val="00753CE0"/>
    <w:rsid w:val="00755625"/>
    <w:rsid w:val="00755C3A"/>
    <w:rsid w:val="00756BD1"/>
    <w:rsid w:val="007609AC"/>
    <w:rsid w:val="007611B0"/>
    <w:rsid w:val="00761549"/>
    <w:rsid w:val="007623CC"/>
    <w:rsid w:val="0076241B"/>
    <w:rsid w:val="0076282C"/>
    <w:rsid w:val="00764A75"/>
    <w:rsid w:val="00765EE1"/>
    <w:rsid w:val="007674DA"/>
    <w:rsid w:val="0076760F"/>
    <w:rsid w:val="007676B5"/>
    <w:rsid w:val="00767A68"/>
    <w:rsid w:val="00767C12"/>
    <w:rsid w:val="00770092"/>
    <w:rsid w:val="007704E1"/>
    <w:rsid w:val="007707D9"/>
    <w:rsid w:val="00773E16"/>
    <w:rsid w:val="007746D2"/>
    <w:rsid w:val="007752D3"/>
    <w:rsid w:val="00775C98"/>
    <w:rsid w:val="00780134"/>
    <w:rsid w:val="007811B4"/>
    <w:rsid w:val="007815C6"/>
    <w:rsid w:val="00781F7D"/>
    <w:rsid w:val="00782194"/>
    <w:rsid w:val="00782782"/>
    <w:rsid w:val="00782BD6"/>
    <w:rsid w:val="00782D1E"/>
    <w:rsid w:val="00783132"/>
    <w:rsid w:val="007836EB"/>
    <w:rsid w:val="00783C8A"/>
    <w:rsid w:val="00784006"/>
    <w:rsid w:val="007841A2"/>
    <w:rsid w:val="0078435B"/>
    <w:rsid w:val="0078440B"/>
    <w:rsid w:val="00784D6E"/>
    <w:rsid w:val="007850EB"/>
    <w:rsid w:val="00787841"/>
    <w:rsid w:val="0078799C"/>
    <w:rsid w:val="00787D33"/>
    <w:rsid w:val="00787D4B"/>
    <w:rsid w:val="00787FFB"/>
    <w:rsid w:val="00790262"/>
    <w:rsid w:val="007922B9"/>
    <w:rsid w:val="007922D5"/>
    <w:rsid w:val="007926BE"/>
    <w:rsid w:val="00792D80"/>
    <w:rsid w:val="00792DBC"/>
    <w:rsid w:val="0079329E"/>
    <w:rsid w:val="00793F09"/>
    <w:rsid w:val="007940D0"/>
    <w:rsid w:val="00794A09"/>
    <w:rsid w:val="0079570E"/>
    <w:rsid w:val="00795EF8"/>
    <w:rsid w:val="00796AF4"/>
    <w:rsid w:val="007975B1"/>
    <w:rsid w:val="007A054F"/>
    <w:rsid w:val="007A0B8D"/>
    <w:rsid w:val="007A0E9E"/>
    <w:rsid w:val="007A209C"/>
    <w:rsid w:val="007A3295"/>
    <w:rsid w:val="007A5E8D"/>
    <w:rsid w:val="007A60DF"/>
    <w:rsid w:val="007A6499"/>
    <w:rsid w:val="007A6BA1"/>
    <w:rsid w:val="007B0E2E"/>
    <w:rsid w:val="007B1023"/>
    <w:rsid w:val="007B2328"/>
    <w:rsid w:val="007B45B1"/>
    <w:rsid w:val="007B45D4"/>
    <w:rsid w:val="007B4856"/>
    <w:rsid w:val="007B5017"/>
    <w:rsid w:val="007B5AB9"/>
    <w:rsid w:val="007B6366"/>
    <w:rsid w:val="007B6810"/>
    <w:rsid w:val="007B7275"/>
    <w:rsid w:val="007B7C85"/>
    <w:rsid w:val="007C014C"/>
    <w:rsid w:val="007C086F"/>
    <w:rsid w:val="007C28B0"/>
    <w:rsid w:val="007C29C3"/>
    <w:rsid w:val="007C2F78"/>
    <w:rsid w:val="007C32BA"/>
    <w:rsid w:val="007C5098"/>
    <w:rsid w:val="007C55B9"/>
    <w:rsid w:val="007C6130"/>
    <w:rsid w:val="007C6794"/>
    <w:rsid w:val="007C6C04"/>
    <w:rsid w:val="007C6E38"/>
    <w:rsid w:val="007C7A6B"/>
    <w:rsid w:val="007D0681"/>
    <w:rsid w:val="007D11E3"/>
    <w:rsid w:val="007D1D57"/>
    <w:rsid w:val="007D1FE6"/>
    <w:rsid w:val="007D42AC"/>
    <w:rsid w:val="007D5666"/>
    <w:rsid w:val="007D5BD2"/>
    <w:rsid w:val="007D5BDC"/>
    <w:rsid w:val="007D5BF3"/>
    <w:rsid w:val="007D5D62"/>
    <w:rsid w:val="007D6892"/>
    <w:rsid w:val="007D68CA"/>
    <w:rsid w:val="007E09EF"/>
    <w:rsid w:val="007E0EE0"/>
    <w:rsid w:val="007E1543"/>
    <w:rsid w:val="007E2506"/>
    <w:rsid w:val="007E26A5"/>
    <w:rsid w:val="007E2AEC"/>
    <w:rsid w:val="007E3EB2"/>
    <w:rsid w:val="007E4F52"/>
    <w:rsid w:val="007E51FF"/>
    <w:rsid w:val="007E576C"/>
    <w:rsid w:val="007E5ADA"/>
    <w:rsid w:val="007E70A8"/>
    <w:rsid w:val="007E75E9"/>
    <w:rsid w:val="007F0825"/>
    <w:rsid w:val="007F3BFE"/>
    <w:rsid w:val="007F4872"/>
    <w:rsid w:val="007F4AE7"/>
    <w:rsid w:val="007F4B70"/>
    <w:rsid w:val="007F6633"/>
    <w:rsid w:val="007F70BA"/>
    <w:rsid w:val="00800276"/>
    <w:rsid w:val="008018DB"/>
    <w:rsid w:val="00802E87"/>
    <w:rsid w:val="00803D82"/>
    <w:rsid w:val="008041BF"/>
    <w:rsid w:val="00804E03"/>
    <w:rsid w:val="008050E6"/>
    <w:rsid w:val="0080579B"/>
    <w:rsid w:val="00805A90"/>
    <w:rsid w:val="00806317"/>
    <w:rsid w:val="00806410"/>
    <w:rsid w:val="00806EDA"/>
    <w:rsid w:val="00806EE3"/>
    <w:rsid w:val="0081087D"/>
    <w:rsid w:val="00810C89"/>
    <w:rsid w:val="00810E8F"/>
    <w:rsid w:val="00810FD8"/>
    <w:rsid w:val="008118E7"/>
    <w:rsid w:val="008132BA"/>
    <w:rsid w:val="00813CCB"/>
    <w:rsid w:val="00813E2C"/>
    <w:rsid w:val="00815265"/>
    <w:rsid w:val="00816670"/>
    <w:rsid w:val="00817E42"/>
    <w:rsid w:val="00820759"/>
    <w:rsid w:val="00820F25"/>
    <w:rsid w:val="008221A2"/>
    <w:rsid w:val="00822806"/>
    <w:rsid w:val="00822B33"/>
    <w:rsid w:val="008232B3"/>
    <w:rsid w:val="0082332E"/>
    <w:rsid w:val="0082339D"/>
    <w:rsid w:val="008237A3"/>
    <w:rsid w:val="00824EC1"/>
    <w:rsid w:val="0082523B"/>
    <w:rsid w:val="0082538A"/>
    <w:rsid w:val="00825E07"/>
    <w:rsid w:val="00825F94"/>
    <w:rsid w:val="00826FCB"/>
    <w:rsid w:val="008304BD"/>
    <w:rsid w:val="00830B5C"/>
    <w:rsid w:val="00831118"/>
    <w:rsid w:val="008312CD"/>
    <w:rsid w:val="008315C2"/>
    <w:rsid w:val="008324EE"/>
    <w:rsid w:val="00832567"/>
    <w:rsid w:val="00835CA2"/>
    <w:rsid w:val="008410FB"/>
    <w:rsid w:val="008427AA"/>
    <w:rsid w:val="00842CFC"/>
    <w:rsid w:val="00842DF3"/>
    <w:rsid w:val="00843E57"/>
    <w:rsid w:val="00843FE3"/>
    <w:rsid w:val="00850C09"/>
    <w:rsid w:val="00853425"/>
    <w:rsid w:val="00853525"/>
    <w:rsid w:val="00853D0B"/>
    <w:rsid w:val="008543B6"/>
    <w:rsid w:val="008558BC"/>
    <w:rsid w:val="00855A3C"/>
    <w:rsid w:val="00855AEA"/>
    <w:rsid w:val="00855C81"/>
    <w:rsid w:val="00855CAA"/>
    <w:rsid w:val="0085646F"/>
    <w:rsid w:val="00857B0E"/>
    <w:rsid w:val="00860037"/>
    <w:rsid w:val="008601DD"/>
    <w:rsid w:val="00860BDE"/>
    <w:rsid w:val="00860ED4"/>
    <w:rsid w:val="00860FCB"/>
    <w:rsid w:val="008620AF"/>
    <w:rsid w:val="0086210F"/>
    <w:rsid w:val="00862123"/>
    <w:rsid w:val="00862577"/>
    <w:rsid w:val="00863F7D"/>
    <w:rsid w:val="00864490"/>
    <w:rsid w:val="0086485A"/>
    <w:rsid w:val="00864E5F"/>
    <w:rsid w:val="008654E0"/>
    <w:rsid w:val="008664AA"/>
    <w:rsid w:val="00867BED"/>
    <w:rsid w:val="008705D2"/>
    <w:rsid w:val="008712D5"/>
    <w:rsid w:val="00871F36"/>
    <w:rsid w:val="0087205B"/>
    <w:rsid w:val="008729DC"/>
    <w:rsid w:val="00872C9D"/>
    <w:rsid w:val="008736C3"/>
    <w:rsid w:val="00874F46"/>
    <w:rsid w:val="00875424"/>
    <w:rsid w:val="008762E8"/>
    <w:rsid w:val="008777A9"/>
    <w:rsid w:val="0088008E"/>
    <w:rsid w:val="00880938"/>
    <w:rsid w:val="008809C5"/>
    <w:rsid w:val="008814D4"/>
    <w:rsid w:val="00882EC9"/>
    <w:rsid w:val="008851FD"/>
    <w:rsid w:val="008858E1"/>
    <w:rsid w:val="00885EDE"/>
    <w:rsid w:val="008864AB"/>
    <w:rsid w:val="00886B95"/>
    <w:rsid w:val="00886DF4"/>
    <w:rsid w:val="0088764E"/>
    <w:rsid w:val="00887C7B"/>
    <w:rsid w:val="00887D2F"/>
    <w:rsid w:val="00887D98"/>
    <w:rsid w:val="008905CF"/>
    <w:rsid w:val="00890987"/>
    <w:rsid w:val="008913E3"/>
    <w:rsid w:val="00891C9D"/>
    <w:rsid w:val="00893189"/>
    <w:rsid w:val="008931E7"/>
    <w:rsid w:val="008933BB"/>
    <w:rsid w:val="008933C9"/>
    <w:rsid w:val="0089365B"/>
    <w:rsid w:val="00894184"/>
    <w:rsid w:val="008949EE"/>
    <w:rsid w:val="00896326"/>
    <w:rsid w:val="008A035D"/>
    <w:rsid w:val="008A1187"/>
    <w:rsid w:val="008A1D26"/>
    <w:rsid w:val="008A2CFE"/>
    <w:rsid w:val="008A2FA9"/>
    <w:rsid w:val="008A347D"/>
    <w:rsid w:val="008A376D"/>
    <w:rsid w:val="008A3A4F"/>
    <w:rsid w:val="008A3AF6"/>
    <w:rsid w:val="008A3B05"/>
    <w:rsid w:val="008A4625"/>
    <w:rsid w:val="008A4AB6"/>
    <w:rsid w:val="008A5BCC"/>
    <w:rsid w:val="008A6129"/>
    <w:rsid w:val="008A62AA"/>
    <w:rsid w:val="008A6D7B"/>
    <w:rsid w:val="008A78A0"/>
    <w:rsid w:val="008B0AD7"/>
    <w:rsid w:val="008B16DF"/>
    <w:rsid w:val="008B1D0F"/>
    <w:rsid w:val="008B2255"/>
    <w:rsid w:val="008B3200"/>
    <w:rsid w:val="008B3986"/>
    <w:rsid w:val="008B3F25"/>
    <w:rsid w:val="008B40FE"/>
    <w:rsid w:val="008B59B0"/>
    <w:rsid w:val="008B5CE0"/>
    <w:rsid w:val="008B5F88"/>
    <w:rsid w:val="008B692B"/>
    <w:rsid w:val="008B6A7B"/>
    <w:rsid w:val="008B6B7E"/>
    <w:rsid w:val="008C0F04"/>
    <w:rsid w:val="008C1C42"/>
    <w:rsid w:val="008C1F76"/>
    <w:rsid w:val="008C235D"/>
    <w:rsid w:val="008C2391"/>
    <w:rsid w:val="008C2477"/>
    <w:rsid w:val="008C489D"/>
    <w:rsid w:val="008C49B4"/>
    <w:rsid w:val="008C6C31"/>
    <w:rsid w:val="008C7360"/>
    <w:rsid w:val="008C788C"/>
    <w:rsid w:val="008C7CCC"/>
    <w:rsid w:val="008D05A6"/>
    <w:rsid w:val="008D062B"/>
    <w:rsid w:val="008D099D"/>
    <w:rsid w:val="008D2231"/>
    <w:rsid w:val="008D243D"/>
    <w:rsid w:val="008D25D2"/>
    <w:rsid w:val="008D306A"/>
    <w:rsid w:val="008D4286"/>
    <w:rsid w:val="008D531E"/>
    <w:rsid w:val="008D5B6D"/>
    <w:rsid w:val="008D6181"/>
    <w:rsid w:val="008D6583"/>
    <w:rsid w:val="008D6650"/>
    <w:rsid w:val="008D6EF9"/>
    <w:rsid w:val="008D72B9"/>
    <w:rsid w:val="008D746E"/>
    <w:rsid w:val="008D76EE"/>
    <w:rsid w:val="008D7A10"/>
    <w:rsid w:val="008E0BDB"/>
    <w:rsid w:val="008E1B1F"/>
    <w:rsid w:val="008E252E"/>
    <w:rsid w:val="008E2FE0"/>
    <w:rsid w:val="008E3376"/>
    <w:rsid w:val="008E3756"/>
    <w:rsid w:val="008E3AA5"/>
    <w:rsid w:val="008E408F"/>
    <w:rsid w:val="008E466C"/>
    <w:rsid w:val="008E4971"/>
    <w:rsid w:val="008E52E1"/>
    <w:rsid w:val="008E61B6"/>
    <w:rsid w:val="008E77D3"/>
    <w:rsid w:val="008F0C35"/>
    <w:rsid w:val="008F0D37"/>
    <w:rsid w:val="008F2A8F"/>
    <w:rsid w:val="008F34E1"/>
    <w:rsid w:val="008F56A7"/>
    <w:rsid w:val="008F6BCE"/>
    <w:rsid w:val="008F74AE"/>
    <w:rsid w:val="00900190"/>
    <w:rsid w:val="009002BB"/>
    <w:rsid w:val="00901156"/>
    <w:rsid w:val="0090183B"/>
    <w:rsid w:val="00901A0B"/>
    <w:rsid w:val="00901F24"/>
    <w:rsid w:val="00902745"/>
    <w:rsid w:val="00902934"/>
    <w:rsid w:val="00902A5E"/>
    <w:rsid w:val="00902CCB"/>
    <w:rsid w:val="009030D2"/>
    <w:rsid w:val="0090321F"/>
    <w:rsid w:val="00903EBA"/>
    <w:rsid w:val="0090408B"/>
    <w:rsid w:val="009040CF"/>
    <w:rsid w:val="0090451F"/>
    <w:rsid w:val="009049D0"/>
    <w:rsid w:val="00905270"/>
    <w:rsid w:val="00905573"/>
    <w:rsid w:val="009062F3"/>
    <w:rsid w:val="00906CA4"/>
    <w:rsid w:val="00907333"/>
    <w:rsid w:val="00907B0B"/>
    <w:rsid w:val="00910044"/>
    <w:rsid w:val="00911B96"/>
    <w:rsid w:val="00911E51"/>
    <w:rsid w:val="009120E7"/>
    <w:rsid w:val="00912ADD"/>
    <w:rsid w:val="00913A06"/>
    <w:rsid w:val="00913AB8"/>
    <w:rsid w:val="00913E02"/>
    <w:rsid w:val="00913F56"/>
    <w:rsid w:val="009152BA"/>
    <w:rsid w:val="009161BD"/>
    <w:rsid w:val="00916683"/>
    <w:rsid w:val="00917457"/>
    <w:rsid w:val="009176B3"/>
    <w:rsid w:val="0092012F"/>
    <w:rsid w:val="00920B11"/>
    <w:rsid w:val="00920D3D"/>
    <w:rsid w:val="00920FD8"/>
    <w:rsid w:val="00921466"/>
    <w:rsid w:val="00921823"/>
    <w:rsid w:val="0092262B"/>
    <w:rsid w:val="009229F2"/>
    <w:rsid w:val="0092380E"/>
    <w:rsid w:val="0092592A"/>
    <w:rsid w:val="009275C2"/>
    <w:rsid w:val="00927D19"/>
    <w:rsid w:val="00930C21"/>
    <w:rsid w:val="00931330"/>
    <w:rsid w:val="009329A1"/>
    <w:rsid w:val="00933165"/>
    <w:rsid w:val="00934A28"/>
    <w:rsid w:val="00935272"/>
    <w:rsid w:val="0093549E"/>
    <w:rsid w:val="00936163"/>
    <w:rsid w:val="009365E4"/>
    <w:rsid w:val="0093722C"/>
    <w:rsid w:val="009377B7"/>
    <w:rsid w:val="009378EB"/>
    <w:rsid w:val="009406B9"/>
    <w:rsid w:val="0094201C"/>
    <w:rsid w:val="0094357B"/>
    <w:rsid w:val="00943711"/>
    <w:rsid w:val="00945B55"/>
    <w:rsid w:val="0094612B"/>
    <w:rsid w:val="00946AAA"/>
    <w:rsid w:val="0094723A"/>
    <w:rsid w:val="00947F49"/>
    <w:rsid w:val="0095018D"/>
    <w:rsid w:val="009516BE"/>
    <w:rsid w:val="00951FC3"/>
    <w:rsid w:val="009531F4"/>
    <w:rsid w:val="009540BB"/>
    <w:rsid w:val="00954433"/>
    <w:rsid w:val="00954E93"/>
    <w:rsid w:val="00955687"/>
    <w:rsid w:val="00955D13"/>
    <w:rsid w:val="00955E96"/>
    <w:rsid w:val="009565CF"/>
    <w:rsid w:val="00957148"/>
    <w:rsid w:val="009573BA"/>
    <w:rsid w:val="009578B4"/>
    <w:rsid w:val="00960347"/>
    <w:rsid w:val="00961E06"/>
    <w:rsid w:val="00962582"/>
    <w:rsid w:val="00963D05"/>
    <w:rsid w:val="00964204"/>
    <w:rsid w:val="00964941"/>
    <w:rsid w:val="00964BA6"/>
    <w:rsid w:val="00965E84"/>
    <w:rsid w:val="00966210"/>
    <w:rsid w:val="009662D9"/>
    <w:rsid w:val="009669F6"/>
    <w:rsid w:val="00967350"/>
    <w:rsid w:val="00971EEB"/>
    <w:rsid w:val="00974B0E"/>
    <w:rsid w:val="00975AAB"/>
    <w:rsid w:val="009764E5"/>
    <w:rsid w:val="009765BE"/>
    <w:rsid w:val="0098047C"/>
    <w:rsid w:val="00980A1F"/>
    <w:rsid w:val="00981122"/>
    <w:rsid w:val="009818DD"/>
    <w:rsid w:val="00981C75"/>
    <w:rsid w:val="00982C9E"/>
    <w:rsid w:val="00983831"/>
    <w:rsid w:val="00984366"/>
    <w:rsid w:val="0098625D"/>
    <w:rsid w:val="00986E1D"/>
    <w:rsid w:val="00990244"/>
    <w:rsid w:val="00990341"/>
    <w:rsid w:val="00990B69"/>
    <w:rsid w:val="0099162E"/>
    <w:rsid w:val="0099303C"/>
    <w:rsid w:val="00993764"/>
    <w:rsid w:val="00993DDD"/>
    <w:rsid w:val="00994F75"/>
    <w:rsid w:val="009954FD"/>
    <w:rsid w:val="00995984"/>
    <w:rsid w:val="00995E31"/>
    <w:rsid w:val="00995F64"/>
    <w:rsid w:val="00996EF9"/>
    <w:rsid w:val="009A0668"/>
    <w:rsid w:val="009A0A3A"/>
    <w:rsid w:val="009A1AB4"/>
    <w:rsid w:val="009A2115"/>
    <w:rsid w:val="009A2A99"/>
    <w:rsid w:val="009A46A3"/>
    <w:rsid w:val="009A49C9"/>
    <w:rsid w:val="009A4FD9"/>
    <w:rsid w:val="009A5491"/>
    <w:rsid w:val="009A57BF"/>
    <w:rsid w:val="009A72DD"/>
    <w:rsid w:val="009A7C5B"/>
    <w:rsid w:val="009B0709"/>
    <w:rsid w:val="009B13ED"/>
    <w:rsid w:val="009B1875"/>
    <w:rsid w:val="009B18DE"/>
    <w:rsid w:val="009B2167"/>
    <w:rsid w:val="009B21EA"/>
    <w:rsid w:val="009B2664"/>
    <w:rsid w:val="009B345F"/>
    <w:rsid w:val="009B3614"/>
    <w:rsid w:val="009B3A67"/>
    <w:rsid w:val="009B3DFD"/>
    <w:rsid w:val="009B4AF0"/>
    <w:rsid w:val="009B4C98"/>
    <w:rsid w:val="009B4D21"/>
    <w:rsid w:val="009B55B8"/>
    <w:rsid w:val="009B5605"/>
    <w:rsid w:val="009B5B74"/>
    <w:rsid w:val="009B65C3"/>
    <w:rsid w:val="009B6B2D"/>
    <w:rsid w:val="009B7D84"/>
    <w:rsid w:val="009C0235"/>
    <w:rsid w:val="009C0B43"/>
    <w:rsid w:val="009C1461"/>
    <w:rsid w:val="009C213D"/>
    <w:rsid w:val="009C2855"/>
    <w:rsid w:val="009C2F4C"/>
    <w:rsid w:val="009C2FF0"/>
    <w:rsid w:val="009C32D6"/>
    <w:rsid w:val="009C340A"/>
    <w:rsid w:val="009C3513"/>
    <w:rsid w:val="009C414C"/>
    <w:rsid w:val="009C4609"/>
    <w:rsid w:val="009C5C95"/>
    <w:rsid w:val="009D03AE"/>
    <w:rsid w:val="009D052B"/>
    <w:rsid w:val="009D11B8"/>
    <w:rsid w:val="009D1E34"/>
    <w:rsid w:val="009D21BD"/>
    <w:rsid w:val="009D221C"/>
    <w:rsid w:val="009D2B23"/>
    <w:rsid w:val="009D2CD1"/>
    <w:rsid w:val="009D2D4E"/>
    <w:rsid w:val="009D2EEF"/>
    <w:rsid w:val="009D3250"/>
    <w:rsid w:val="009D3330"/>
    <w:rsid w:val="009D35A2"/>
    <w:rsid w:val="009D38AA"/>
    <w:rsid w:val="009D498B"/>
    <w:rsid w:val="009D4F1A"/>
    <w:rsid w:val="009D5732"/>
    <w:rsid w:val="009D5AFB"/>
    <w:rsid w:val="009D6630"/>
    <w:rsid w:val="009D6957"/>
    <w:rsid w:val="009D6A69"/>
    <w:rsid w:val="009D7134"/>
    <w:rsid w:val="009D7B3C"/>
    <w:rsid w:val="009E010E"/>
    <w:rsid w:val="009E0794"/>
    <w:rsid w:val="009E0FA6"/>
    <w:rsid w:val="009E1BCC"/>
    <w:rsid w:val="009E26DD"/>
    <w:rsid w:val="009E39F5"/>
    <w:rsid w:val="009E3F94"/>
    <w:rsid w:val="009E48D4"/>
    <w:rsid w:val="009E4D83"/>
    <w:rsid w:val="009E61CE"/>
    <w:rsid w:val="009E63DC"/>
    <w:rsid w:val="009E6B38"/>
    <w:rsid w:val="009E6D54"/>
    <w:rsid w:val="009E6FA7"/>
    <w:rsid w:val="009F01CF"/>
    <w:rsid w:val="009F024D"/>
    <w:rsid w:val="009F108B"/>
    <w:rsid w:val="009F142D"/>
    <w:rsid w:val="009F17FE"/>
    <w:rsid w:val="009F2820"/>
    <w:rsid w:val="009F32A8"/>
    <w:rsid w:val="009F3412"/>
    <w:rsid w:val="009F4C0A"/>
    <w:rsid w:val="009F54CA"/>
    <w:rsid w:val="009F5844"/>
    <w:rsid w:val="009F6D7E"/>
    <w:rsid w:val="009F72EC"/>
    <w:rsid w:val="009F7E0A"/>
    <w:rsid w:val="00A00228"/>
    <w:rsid w:val="00A00DE6"/>
    <w:rsid w:val="00A0132E"/>
    <w:rsid w:val="00A02671"/>
    <w:rsid w:val="00A02997"/>
    <w:rsid w:val="00A03A1C"/>
    <w:rsid w:val="00A03D90"/>
    <w:rsid w:val="00A0435E"/>
    <w:rsid w:val="00A055AB"/>
    <w:rsid w:val="00A05BF4"/>
    <w:rsid w:val="00A0682F"/>
    <w:rsid w:val="00A075C6"/>
    <w:rsid w:val="00A07923"/>
    <w:rsid w:val="00A10CAD"/>
    <w:rsid w:val="00A10ED2"/>
    <w:rsid w:val="00A11B62"/>
    <w:rsid w:val="00A11B97"/>
    <w:rsid w:val="00A11C0F"/>
    <w:rsid w:val="00A122A3"/>
    <w:rsid w:val="00A12877"/>
    <w:rsid w:val="00A12E82"/>
    <w:rsid w:val="00A13F6C"/>
    <w:rsid w:val="00A13F84"/>
    <w:rsid w:val="00A14134"/>
    <w:rsid w:val="00A14A4F"/>
    <w:rsid w:val="00A157B5"/>
    <w:rsid w:val="00A15CB8"/>
    <w:rsid w:val="00A17B5E"/>
    <w:rsid w:val="00A20180"/>
    <w:rsid w:val="00A219E9"/>
    <w:rsid w:val="00A22E9E"/>
    <w:rsid w:val="00A23069"/>
    <w:rsid w:val="00A231A8"/>
    <w:rsid w:val="00A2368C"/>
    <w:rsid w:val="00A25310"/>
    <w:rsid w:val="00A258F5"/>
    <w:rsid w:val="00A25E51"/>
    <w:rsid w:val="00A25F1B"/>
    <w:rsid w:val="00A26DED"/>
    <w:rsid w:val="00A27909"/>
    <w:rsid w:val="00A27FD0"/>
    <w:rsid w:val="00A30B56"/>
    <w:rsid w:val="00A30DA3"/>
    <w:rsid w:val="00A31411"/>
    <w:rsid w:val="00A31562"/>
    <w:rsid w:val="00A321E0"/>
    <w:rsid w:val="00A332DD"/>
    <w:rsid w:val="00A34117"/>
    <w:rsid w:val="00A34118"/>
    <w:rsid w:val="00A34F92"/>
    <w:rsid w:val="00A35521"/>
    <w:rsid w:val="00A35B88"/>
    <w:rsid w:val="00A35E94"/>
    <w:rsid w:val="00A36348"/>
    <w:rsid w:val="00A365AB"/>
    <w:rsid w:val="00A37305"/>
    <w:rsid w:val="00A37923"/>
    <w:rsid w:val="00A37C7F"/>
    <w:rsid w:val="00A37C97"/>
    <w:rsid w:val="00A414E3"/>
    <w:rsid w:val="00A41A26"/>
    <w:rsid w:val="00A45082"/>
    <w:rsid w:val="00A45591"/>
    <w:rsid w:val="00A460B3"/>
    <w:rsid w:val="00A46719"/>
    <w:rsid w:val="00A50453"/>
    <w:rsid w:val="00A51928"/>
    <w:rsid w:val="00A51A3A"/>
    <w:rsid w:val="00A51B3D"/>
    <w:rsid w:val="00A51DB7"/>
    <w:rsid w:val="00A524AD"/>
    <w:rsid w:val="00A52AE2"/>
    <w:rsid w:val="00A5325A"/>
    <w:rsid w:val="00A5341A"/>
    <w:rsid w:val="00A53A68"/>
    <w:rsid w:val="00A53D2E"/>
    <w:rsid w:val="00A546DE"/>
    <w:rsid w:val="00A54903"/>
    <w:rsid w:val="00A553F1"/>
    <w:rsid w:val="00A557CD"/>
    <w:rsid w:val="00A56CFF"/>
    <w:rsid w:val="00A60B7E"/>
    <w:rsid w:val="00A61680"/>
    <w:rsid w:val="00A62BF1"/>
    <w:rsid w:val="00A635DD"/>
    <w:rsid w:val="00A63C13"/>
    <w:rsid w:val="00A6412E"/>
    <w:rsid w:val="00A64889"/>
    <w:rsid w:val="00A64BC0"/>
    <w:rsid w:val="00A64F2E"/>
    <w:rsid w:val="00A65CD0"/>
    <w:rsid w:val="00A6785D"/>
    <w:rsid w:val="00A703A0"/>
    <w:rsid w:val="00A7041B"/>
    <w:rsid w:val="00A71664"/>
    <w:rsid w:val="00A71AFD"/>
    <w:rsid w:val="00A71DA5"/>
    <w:rsid w:val="00A722F1"/>
    <w:rsid w:val="00A72FB7"/>
    <w:rsid w:val="00A73214"/>
    <w:rsid w:val="00A75C34"/>
    <w:rsid w:val="00A75F91"/>
    <w:rsid w:val="00A7609E"/>
    <w:rsid w:val="00A76BFB"/>
    <w:rsid w:val="00A77076"/>
    <w:rsid w:val="00A772EA"/>
    <w:rsid w:val="00A77302"/>
    <w:rsid w:val="00A7730D"/>
    <w:rsid w:val="00A77BD6"/>
    <w:rsid w:val="00A77F64"/>
    <w:rsid w:val="00A8026F"/>
    <w:rsid w:val="00A80BED"/>
    <w:rsid w:val="00A81067"/>
    <w:rsid w:val="00A8263E"/>
    <w:rsid w:val="00A82979"/>
    <w:rsid w:val="00A835C0"/>
    <w:rsid w:val="00A837F9"/>
    <w:rsid w:val="00A83DF1"/>
    <w:rsid w:val="00A84140"/>
    <w:rsid w:val="00A841C1"/>
    <w:rsid w:val="00A84807"/>
    <w:rsid w:val="00A85784"/>
    <w:rsid w:val="00A8618A"/>
    <w:rsid w:val="00A8753D"/>
    <w:rsid w:val="00A87717"/>
    <w:rsid w:val="00A87BA7"/>
    <w:rsid w:val="00A90640"/>
    <w:rsid w:val="00A90958"/>
    <w:rsid w:val="00A909EE"/>
    <w:rsid w:val="00A921FA"/>
    <w:rsid w:val="00A92943"/>
    <w:rsid w:val="00A93B5C"/>
    <w:rsid w:val="00A93D38"/>
    <w:rsid w:val="00A94F97"/>
    <w:rsid w:val="00A9508E"/>
    <w:rsid w:val="00A953D6"/>
    <w:rsid w:val="00A9599E"/>
    <w:rsid w:val="00A977C4"/>
    <w:rsid w:val="00A978E6"/>
    <w:rsid w:val="00A978F4"/>
    <w:rsid w:val="00AA06AC"/>
    <w:rsid w:val="00AA1C1A"/>
    <w:rsid w:val="00AA2226"/>
    <w:rsid w:val="00AA3ECB"/>
    <w:rsid w:val="00AA441A"/>
    <w:rsid w:val="00AA6B02"/>
    <w:rsid w:val="00AA6D8B"/>
    <w:rsid w:val="00AA7EB4"/>
    <w:rsid w:val="00AB05C4"/>
    <w:rsid w:val="00AB1219"/>
    <w:rsid w:val="00AB1E07"/>
    <w:rsid w:val="00AB209D"/>
    <w:rsid w:val="00AB24D5"/>
    <w:rsid w:val="00AB2C25"/>
    <w:rsid w:val="00AB2E4C"/>
    <w:rsid w:val="00AB38D6"/>
    <w:rsid w:val="00AB4F5F"/>
    <w:rsid w:val="00AB530C"/>
    <w:rsid w:val="00AB5EFB"/>
    <w:rsid w:val="00AB6089"/>
    <w:rsid w:val="00AB784E"/>
    <w:rsid w:val="00AC0104"/>
    <w:rsid w:val="00AC0A48"/>
    <w:rsid w:val="00AC114F"/>
    <w:rsid w:val="00AC1692"/>
    <w:rsid w:val="00AC16A1"/>
    <w:rsid w:val="00AC1CFD"/>
    <w:rsid w:val="00AC252A"/>
    <w:rsid w:val="00AC3122"/>
    <w:rsid w:val="00AC3D97"/>
    <w:rsid w:val="00AC4470"/>
    <w:rsid w:val="00AC60EF"/>
    <w:rsid w:val="00AD0A14"/>
    <w:rsid w:val="00AD1D33"/>
    <w:rsid w:val="00AD1DCE"/>
    <w:rsid w:val="00AD26F9"/>
    <w:rsid w:val="00AD34EF"/>
    <w:rsid w:val="00AD3A10"/>
    <w:rsid w:val="00AD3DF5"/>
    <w:rsid w:val="00AD5F5B"/>
    <w:rsid w:val="00AD64C8"/>
    <w:rsid w:val="00AD7AB2"/>
    <w:rsid w:val="00AD7B22"/>
    <w:rsid w:val="00AE0750"/>
    <w:rsid w:val="00AE1985"/>
    <w:rsid w:val="00AE21E7"/>
    <w:rsid w:val="00AE231D"/>
    <w:rsid w:val="00AE318C"/>
    <w:rsid w:val="00AE3E4C"/>
    <w:rsid w:val="00AE4FA5"/>
    <w:rsid w:val="00AE54C9"/>
    <w:rsid w:val="00AE5E00"/>
    <w:rsid w:val="00AE7185"/>
    <w:rsid w:val="00AF002D"/>
    <w:rsid w:val="00AF03F0"/>
    <w:rsid w:val="00AF0869"/>
    <w:rsid w:val="00AF1DF8"/>
    <w:rsid w:val="00AF26EA"/>
    <w:rsid w:val="00AF2913"/>
    <w:rsid w:val="00AF2F03"/>
    <w:rsid w:val="00AF3473"/>
    <w:rsid w:val="00AF3754"/>
    <w:rsid w:val="00AF38A8"/>
    <w:rsid w:val="00AF41AF"/>
    <w:rsid w:val="00AF47F0"/>
    <w:rsid w:val="00AF538A"/>
    <w:rsid w:val="00AF5C40"/>
    <w:rsid w:val="00AF7186"/>
    <w:rsid w:val="00AF7742"/>
    <w:rsid w:val="00AF7E94"/>
    <w:rsid w:val="00B01B70"/>
    <w:rsid w:val="00B025D0"/>
    <w:rsid w:val="00B02B72"/>
    <w:rsid w:val="00B041D3"/>
    <w:rsid w:val="00B05B3D"/>
    <w:rsid w:val="00B063EF"/>
    <w:rsid w:val="00B0786A"/>
    <w:rsid w:val="00B07A30"/>
    <w:rsid w:val="00B07E1F"/>
    <w:rsid w:val="00B07FAE"/>
    <w:rsid w:val="00B104BD"/>
    <w:rsid w:val="00B10A47"/>
    <w:rsid w:val="00B10C11"/>
    <w:rsid w:val="00B10FF1"/>
    <w:rsid w:val="00B112AD"/>
    <w:rsid w:val="00B1387C"/>
    <w:rsid w:val="00B13A4A"/>
    <w:rsid w:val="00B13F1A"/>
    <w:rsid w:val="00B14B86"/>
    <w:rsid w:val="00B14D3A"/>
    <w:rsid w:val="00B14EDA"/>
    <w:rsid w:val="00B15DB4"/>
    <w:rsid w:val="00B161D6"/>
    <w:rsid w:val="00B16219"/>
    <w:rsid w:val="00B1775B"/>
    <w:rsid w:val="00B2001A"/>
    <w:rsid w:val="00B20773"/>
    <w:rsid w:val="00B20957"/>
    <w:rsid w:val="00B20B46"/>
    <w:rsid w:val="00B2250C"/>
    <w:rsid w:val="00B22A84"/>
    <w:rsid w:val="00B23747"/>
    <w:rsid w:val="00B23C57"/>
    <w:rsid w:val="00B23DEC"/>
    <w:rsid w:val="00B23FF0"/>
    <w:rsid w:val="00B2477D"/>
    <w:rsid w:val="00B251FE"/>
    <w:rsid w:val="00B258AE"/>
    <w:rsid w:val="00B2598E"/>
    <w:rsid w:val="00B25D98"/>
    <w:rsid w:val="00B27282"/>
    <w:rsid w:val="00B273A6"/>
    <w:rsid w:val="00B278DF"/>
    <w:rsid w:val="00B30907"/>
    <w:rsid w:val="00B3369C"/>
    <w:rsid w:val="00B3580E"/>
    <w:rsid w:val="00B35D4E"/>
    <w:rsid w:val="00B37AB5"/>
    <w:rsid w:val="00B40927"/>
    <w:rsid w:val="00B40A51"/>
    <w:rsid w:val="00B411F5"/>
    <w:rsid w:val="00B42014"/>
    <w:rsid w:val="00B42295"/>
    <w:rsid w:val="00B43155"/>
    <w:rsid w:val="00B434ED"/>
    <w:rsid w:val="00B4362F"/>
    <w:rsid w:val="00B4385B"/>
    <w:rsid w:val="00B43B68"/>
    <w:rsid w:val="00B43C5D"/>
    <w:rsid w:val="00B43F70"/>
    <w:rsid w:val="00B44A4E"/>
    <w:rsid w:val="00B44D85"/>
    <w:rsid w:val="00B451BA"/>
    <w:rsid w:val="00B4560A"/>
    <w:rsid w:val="00B4585F"/>
    <w:rsid w:val="00B458BD"/>
    <w:rsid w:val="00B46079"/>
    <w:rsid w:val="00B460E9"/>
    <w:rsid w:val="00B47289"/>
    <w:rsid w:val="00B500A5"/>
    <w:rsid w:val="00B505FB"/>
    <w:rsid w:val="00B5067C"/>
    <w:rsid w:val="00B507F6"/>
    <w:rsid w:val="00B50B75"/>
    <w:rsid w:val="00B52253"/>
    <w:rsid w:val="00B52763"/>
    <w:rsid w:val="00B52FFB"/>
    <w:rsid w:val="00B541C0"/>
    <w:rsid w:val="00B545EE"/>
    <w:rsid w:val="00B54B1C"/>
    <w:rsid w:val="00B54C8C"/>
    <w:rsid w:val="00B55A90"/>
    <w:rsid w:val="00B56D90"/>
    <w:rsid w:val="00B57379"/>
    <w:rsid w:val="00B60042"/>
    <w:rsid w:val="00B603C3"/>
    <w:rsid w:val="00B603DF"/>
    <w:rsid w:val="00B61877"/>
    <w:rsid w:val="00B61CD4"/>
    <w:rsid w:val="00B625C5"/>
    <w:rsid w:val="00B62DE8"/>
    <w:rsid w:val="00B639BB"/>
    <w:rsid w:val="00B63C9D"/>
    <w:rsid w:val="00B64198"/>
    <w:rsid w:val="00B64353"/>
    <w:rsid w:val="00B646F7"/>
    <w:rsid w:val="00B65225"/>
    <w:rsid w:val="00B7058E"/>
    <w:rsid w:val="00B71385"/>
    <w:rsid w:val="00B72536"/>
    <w:rsid w:val="00B72B07"/>
    <w:rsid w:val="00B73E5A"/>
    <w:rsid w:val="00B73EB7"/>
    <w:rsid w:val="00B74E0E"/>
    <w:rsid w:val="00B7577D"/>
    <w:rsid w:val="00B75F41"/>
    <w:rsid w:val="00B75FB2"/>
    <w:rsid w:val="00B7626F"/>
    <w:rsid w:val="00B76284"/>
    <w:rsid w:val="00B77450"/>
    <w:rsid w:val="00B80171"/>
    <w:rsid w:val="00B81C17"/>
    <w:rsid w:val="00B81DCA"/>
    <w:rsid w:val="00B8358C"/>
    <w:rsid w:val="00B836AF"/>
    <w:rsid w:val="00B83E7A"/>
    <w:rsid w:val="00B85E62"/>
    <w:rsid w:val="00B864CF"/>
    <w:rsid w:val="00B869BB"/>
    <w:rsid w:val="00B86D19"/>
    <w:rsid w:val="00B87E95"/>
    <w:rsid w:val="00B904FE"/>
    <w:rsid w:val="00B90B07"/>
    <w:rsid w:val="00B9115B"/>
    <w:rsid w:val="00B92647"/>
    <w:rsid w:val="00B92ADB"/>
    <w:rsid w:val="00B940D8"/>
    <w:rsid w:val="00B94B12"/>
    <w:rsid w:val="00B94E1C"/>
    <w:rsid w:val="00B95D7C"/>
    <w:rsid w:val="00B9632F"/>
    <w:rsid w:val="00B97148"/>
    <w:rsid w:val="00BA1518"/>
    <w:rsid w:val="00BA236F"/>
    <w:rsid w:val="00BA24D7"/>
    <w:rsid w:val="00BA2510"/>
    <w:rsid w:val="00BA27AA"/>
    <w:rsid w:val="00BA2DD0"/>
    <w:rsid w:val="00BA300E"/>
    <w:rsid w:val="00BA3192"/>
    <w:rsid w:val="00BA3EA4"/>
    <w:rsid w:val="00BA3F2A"/>
    <w:rsid w:val="00BA476B"/>
    <w:rsid w:val="00BA55AD"/>
    <w:rsid w:val="00BA5676"/>
    <w:rsid w:val="00BA574D"/>
    <w:rsid w:val="00BA7559"/>
    <w:rsid w:val="00BA7709"/>
    <w:rsid w:val="00BB06F2"/>
    <w:rsid w:val="00BB0A04"/>
    <w:rsid w:val="00BB2BBB"/>
    <w:rsid w:val="00BB3397"/>
    <w:rsid w:val="00BB3B5D"/>
    <w:rsid w:val="00BB3B6F"/>
    <w:rsid w:val="00BB3C56"/>
    <w:rsid w:val="00BB417D"/>
    <w:rsid w:val="00BB5E68"/>
    <w:rsid w:val="00BB65AE"/>
    <w:rsid w:val="00BB711B"/>
    <w:rsid w:val="00BC141C"/>
    <w:rsid w:val="00BC26EC"/>
    <w:rsid w:val="00BC2920"/>
    <w:rsid w:val="00BC2A5A"/>
    <w:rsid w:val="00BC37C0"/>
    <w:rsid w:val="00BC3B52"/>
    <w:rsid w:val="00BC406D"/>
    <w:rsid w:val="00BC57B7"/>
    <w:rsid w:val="00BC5E63"/>
    <w:rsid w:val="00BC5F98"/>
    <w:rsid w:val="00BC616E"/>
    <w:rsid w:val="00BC6963"/>
    <w:rsid w:val="00BC69FE"/>
    <w:rsid w:val="00BD06DA"/>
    <w:rsid w:val="00BD1354"/>
    <w:rsid w:val="00BD18EF"/>
    <w:rsid w:val="00BD385C"/>
    <w:rsid w:val="00BD4392"/>
    <w:rsid w:val="00BD4A84"/>
    <w:rsid w:val="00BD51ED"/>
    <w:rsid w:val="00BD57B7"/>
    <w:rsid w:val="00BD57F9"/>
    <w:rsid w:val="00BD67C8"/>
    <w:rsid w:val="00BD7992"/>
    <w:rsid w:val="00BE0530"/>
    <w:rsid w:val="00BE0A62"/>
    <w:rsid w:val="00BE107F"/>
    <w:rsid w:val="00BE1545"/>
    <w:rsid w:val="00BE1D34"/>
    <w:rsid w:val="00BE2290"/>
    <w:rsid w:val="00BE3691"/>
    <w:rsid w:val="00BE36E3"/>
    <w:rsid w:val="00BE3E04"/>
    <w:rsid w:val="00BE3F32"/>
    <w:rsid w:val="00BE40C3"/>
    <w:rsid w:val="00BE4247"/>
    <w:rsid w:val="00BE4280"/>
    <w:rsid w:val="00BE4575"/>
    <w:rsid w:val="00BE48B6"/>
    <w:rsid w:val="00BE5B7D"/>
    <w:rsid w:val="00BE6EFA"/>
    <w:rsid w:val="00BE74CD"/>
    <w:rsid w:val="00BF0609"/>
    <w:rsid w:val="00BF0697"/>
    <w:rsid w:val="00BF1637"/>
    <w:rsid w:val="00BF171E"/>
    <w:rsid w:val="00BF19F2"/>
    <w:rsid w:val="00BF1B86"/>
    <w:rsid w:val="00BF1ED0"/>
    <w:rsid w:val="00BF2499"/>
    <w:rsid w:val="00BF283A"/>
    <w:rsid w:val="00BF2C25"/>
    <w:rsid w:val="00BF3215"/>
    <w:rsid w:val="00BF3801"/>
    <w:rsid w:val="00BF38F5"/>
    <w:rsid w:val="00BF401D"/>
    <w:rsid w:val="00BF47C4"/>
    <w:rsid w:val="00BF4B1B"/>
    <w:rsid w:val="00BF578A"/>
    <w:rsid w:val="00BF6BFB"/>
    <w:rsid w:val="00BF7519"/>
    <w:rsid w:val="00BF779B"/>
    <w:rsid w:val="00BF7D01"/>
    <w:rsid w:val="00C0190D"/>
    <w:rsid w:val="00C023DA"/>
    <w:rsid w:val="00C027F8"/>
    <w:rsid w:val="00C02EEE"/>
    <w:rsid w:val="00C033A6"/>
    <w:rsid w:val="00C03CEC"/>
    <w:rsid w:val="00C056B9"/>
    <w:rsid w:val="00C05BC4"/>
    <w:rsid w:val="00C0691A"/>
    <w:rsid w:val="00C10098"/>
    <w:rsid w:val="00C12020"/>
    <w:rsid w:val="00C1251B"/>
    <w:rsid w:val="00C12B1A"/>
    <w:rsid w:val="00C12DA8"/>
    <w:rsid w:val="00C12EE2"/>
    <w:rsid w:val="00C13442"/>
    <w:rsid w:val="00C13A40"/>
    <w:rsid w:val="00C149E6"/>
    <w:rsid w:val="00C16B47"/>
    <w:rsid w:val="00C21845"/>
    <w:rsid w:val="00C23789"/>
    <w:rsid w:val="00C23C76"/>
    <w:rsid w:val="00C23EAA"/>
    <w:rsid w:val="00C24A5C"/>
    <w:rsid w:val="00C24EB5"/>
    <w:rsid w:val="00C2581B"/>
    <w:rsid w:val="00C261BB"/>
    <w:rsid w:val="00C27327"/>
    <w:rsid w:val="00C27E4B"/>
    <w:rsid w:val="00C30130"/>
    <w:rsid w:val="00C301D4"/>
    <w:rsid w:val="00C30658"/>
    <w:rsid w:val="00C3165B"/>
    <w:rsid w:val="00C32561"/>
    <w:rsid w:val="00C32B42"/>
    <w:rsid w:val="00C3303B"/>
    <w:rsid w:val="00C33CD5"/>
    <w:rsid w:val="00C33F01"/>
    <w:rsid w:val="00C343EF"/>
    <w:rsid w:val="00C35476"/>
    <w:rsid w:val="00C35B64"/>
    <w:rsid w:val="00C35C4A"/>
    <w:rsid w:val="00C35E3C"/>
    <w:rsid w:val="00C36281"/>
    <w:rsid w:val="00C36CF3"/>
    <w:rsid w:val="00C36FB6"/>
    <w:rsid w:val="00C40682"/>
    <w:rsid w:val="00C40ABC"/>
    <w:rsid w:val="00C4109F"/>
    <w:rsid w:val="00C44CC7"/>
    <w:rsid w:val="00C4590D"/>
    <w:rsid w:val="00C4719F"/>
    <w:rsid w:val="00C50DE7"/>
    <w:rsid w:val="00C51395"/>
    <w:rsid w:val="00C51957"/>
    <w:rsid w:val="00C51AC2"/>
    <w:rsid w:val="00C52575"/>
    <w:rsid w:val="00C535D1"/>
    <w:rsid w:val="00C536EC"/>
    <w:rsid w:val="00C53C63"/>
    <w:rsid w:val="00C5446F"/>
    <w:rsid w:val="00C547B0"/>
    <w:rsid w:val="00C54AEA"/>
    <w:rsid w:val="00C54DF8"/>
    <w:rsid w:val="00C55103"/>
    <w:rsid w:val="00C551D2"/>
    <w:rsid w:val="00C55FD9"/>
    <w:rsid w:val="00C5683A"/>
    <w:rsid w:val="00C575C7"/>
    <w:rsid w:val="00C5774B"/>
    <w:rsid w:val="00C578BC"/>
    <w:rsid w:val="00C60C60"/>
    <w:rsid w:val="00C60CBE"/>
    <w:rsid w:val="00C613D6"/>
    <w:rsid w:val="00C617B5"/>
    <w:rsid w:val="00C621DC"/>
    <w:rsid w:val="00C62EC7"/>
    <w:rsid w:val="00C635D9"/>
    <w:rsid w:val="00C6423B"/>
    <w:rsid w:val="00C66B3F"/>
    <w:rsid w:val="00C67295"/>
    <w:rsid w:val="00C67773"/>
    <w:rsid w:val="00C67805"/>
    <w:rsid w:val="00C70A69"/>
    <w:rsid w:val="00C70F16"/>
    <w:rsid w:val="00C7168E"/>
    <w:rsid w:val="00C716AD"/>
    <w:rsid w:val="00C71738"/>
    <w:rsid w:val="00C72CEB"/>
    <w:rsid w:val="00C72FB2"/>
    <w:rsid w:val="00C733BB"/>
    <w:rsid w:val="00C73441"/>
    <w:rsid w:val="00C73623"/>
    <w:rsid w:val="00C74187"/>
    <w:rsid w:val="00C74480"/>
    <w:rsid w:val="00C745B8"/>
    <w:rsid w:val="00C74AEA"/>
    <w:rsid w:val="00C75322"/>
    <w:rsid w:val="00C75D31"/>
    <w:rsid w:val="00C76237"/>
    <w:rsid w:val="00C762C8"/>
    <w:rsid w:val="00C76608"/>
    <w:rsid w:val="00C76768"/>
    <w:rsid w:val="00C76858"/>
    <w:rsid w:val="00C76D06"/>
    <w:rsid w:val="00C76F0E"/>
    <w:rsid w:val="00C770DE"/>
    <w:rsid w:val="00C77223"/>
    <w:rsid w:val="00C77229"/>
    <w:rsid w:val="00C80C91"/>
    <w:rsid w:val="00C810D8"/>
    <w:rsid w:val="00C81179"/>
    <w:rsid w:val="00C81C88"/>
    <w:rsid w:val="00C84E8C"/>
    <w:rsid w:val="00C8533C"/>
    <w:rsid w:val="00C858D8"/>
    <w:rsid w:val="00C8674E"/>
    <w:rsid w:val="00C867D7"/>
    <w:rsid w:val="00C86A8F"/>
    <w:rsid w:val="00C871F1"/>
    <w:rsid w:val="00C877FC"/>
    <w:rsid w:val="00C87911"/>
    <w:rsid w:val="00C900C1"/>
    <w:rsid w:val="00C9069B"/>
    <w:rsid w:val="00C90939"/>
    <w:rsid w:val="00C90E57"/>
    <w:rsid w:val="00C9117D"/>
    <w:rsid w:val="00C9145B"/>
    <w:rsid w:val="00C91472"/>
    <w:rsid w:val="00C91F54"/>
    <w:rsid w:val="00C93233"/>
    <w:rsid w:val="00C9372E"/>
    <w:rsid w:val="00C93C95"/>
    <w:rsid w:val="00C93DDB"/>
    <w:rsid w:val="00C944D6"/>
    <w:rsid w:val="00C9487B"/>
    <w:rsid w:val="00C955A3"/>
    <w:rsid w:val="00C95D20"/>
    <w:rsid w:val="00C971B5"/>
    <w:rsid w:val="00C97DFB"/>
    <w:rsid w:val="00CA048E"/>
    <w:rsid w:val="00CA0636"/>
    <w:rsid w:val="00CA0B23"/>
    <w:rsid w:val="00CA122B"/>
    <w:rsid w:val="00CA1FB0"/>
    <w:rsid w:val="00CA350C"/>
    <w:rsid w:val="00CA3583"/>
    <w:rsid w:val="00CA5748"/>
    <w:rsid w:val="00CA5D12"/>
    <w:rsid w:val="00CA5D8B"/>
    <w:rsid w:val="00CA6A30"/>
    <w:rsid w:val="00CA6B90"/>
    <w:rsid w:val="00CA7CE9"/>
    <w:rsid w:val="00CA7D75"/>
    <w:rsid w:val="00CA7FDD"/>
    <w:rsid w:val="00CB020A"/>
    <w:rsid w:val="00CB070E"/>
    <w:rsid w:val="00CB11EF"/>
    <w:rsid w:val="00CB23A6"/>
    <w:rsid w:val="00CB25B9"/>
    <w:rsid w:val="00CB2E33"/>
    <w:rsid w:val="00CB3B30"/>
    <w:rsid w:val="00CB41DC"/>
    <w:rsid w:val="00CB47B1"/>
    <w:rsid w:val="00CB4C49"/>
    <w:rsid w:val="00CB50DC"/>
    <w:rsid w:val="00CB6711"/>
    <w:rsid w:val="00CB6DAA"/>
    <w:rsid w:val="00CB7C01"/>
    <w:rsid w:val="00CC0353"/>
    <w:rsid w:val="00CC0C18"/>
    <w:rsid w:val="00CC1CFE"/>
    <w:rsid w:val="00CC46E6"/>
    <w:rsid w:val="00CC4919"/>
    <w:rsid w:val="00CC5056"/>
    <w:rsid w:val="00CC52A2"/>
    <w:rsid w:val="00CC5387"/>
    <w:rsid w:val="00CC66F3"/>
    <w:rsid w:val="00CC738F"/>
    <w:rsid w:val="00CC76B6"/>
    <w:rsid w:val="00CC7764"/>
    <w:rsid w:val="00CD0103"/>
    <w:rsid w:val="00CD0269"/>
    <w:rsid w:val="00CD0DDF"/>
    <w:rsid w:val="00CD0F44"/>
    <w:rsid w:val="00CD1FB2"/>
    <w:rsid w:val="00CD2140"/>
    <w:rsid w:val="00CD377A"/>
    <w:rsid w:val="00CD3D2E"/>
    <w:rsid w:val="00CD407E"/>
    <w:rsid w:val="00CD4428"/>
    <w:rsid w:val="00CD457F"/>
    <w:rsid w:val="00CD775E"/>
    <w:rsid w:val="00CD7BD6"/>
    <w:rsid w:val="00CE0383"/>
    <w:rsid w:val="00CE0536"/>
    <w:rsid w:val="00CE177A"/>
    <w:rsid w:val="00CE2604"/>
    <w:rsid w:val="00CE344A"/>
    <w:rsid w:val="00CE345D"/>
    <w:rsid w:val="00CE4932"/>
    <w:rsid w:val="00CE4B04"/>
    <w:rsid w:val="00CE62CA"/>
    <w:rsid w:val="00CE6D62"/>
    <w:rsid w:val="00CE7177"/>
    <w:rsid w:val="00CE769D"/>
    <w:rsid w:val="00CE7956"/>
    <w:rsid w:val="00CE7E90"/>
    <w:rsid w:val="00CE7FC8"/>
    <w:rsid w:val="00CF05EF"/>
    <w:rsid w:val="00CF069E"/>
    <w:rsid w:val="00CF0A93"/>
    <w:rsid w:val="00CF1009"/>
    <w:rsid w:val="00CF1155"/>
    <w:rsid w:val="00CF1939"/>
    <w:rsid w:val="00CF1A12"/>
    <w:rsid w:val="00CF215C"/>
    <w:rsid w:val="00CF2F47"/>
    <w:rsid w:val="00CF3739"/>
    <w:rsid w:val="00CF3B46"/>
    <w:rsid w:val="00CF44BB"/>
    <w:rsid w:val="00CF45C5"/>
    <w:rsid w:val="00CF5599"/>
    <w:rsid w:val="00CF6137"/>
    <w:rsid w:val="00CF6385"/>
    <w:rsid w:val="00D00200"/>
    <w:rsid w:val="00D00A1D"/>
    <w:rsid w:val="00D01B19"/>
    <w:rsid w:val="00D024FF"/>
    <w:rsid w:val="00D029E3"/>
    <w:rsid w:val="00D02AE2"/>
    <w:rsid w:val="00D03B2D"/>
    <w:rsid w:val="00D04359"/>
    <w:rsid w:val="00D044B5"/>
    <w:rsid w:val="00D04581"/>
    <w:rsid w:val="00D04A90"/>
    <w:rsid w:val="00D04C07"/>
    <w:rsid w:val="00D04C4B"/>
    <w:rsid w:val="00D06410"/>
    <w:rsid w:val="00D06B53"/>
    <w:rsid w:val="00D06B68"/>
    <w:rsid w:val="00D07DD8"/>
    <w:rsid w:val="00D07FA9"/>
    <w:rsid w:val="00D10F02"/>
    <w:rsid w:val="00D11544"/>
    <w:rsid w:val="00D126BF"/>
    <w:rsid w:val="00D12817"/>
    <w:rsid w:val="00D12AD1"/>
    <w:rsid w:val="00D1425B"/>
    <w:rsid w:val="00D15331"/>
    <w:rsid w:val="00D15579"/>
    <w:rsid w:val="00D171E8"/>
    <w:rsid w:val="00D17771"/>
    <w:rsid w:val="00D179E3"/>
    <w:rsid w:val="00D20329"/>
    <w:rsid w:val="00D2147F"/>
    <w:rsid w:val="00D227E3"/>
    <w:rsid w:val="00D22A44"/>
    <w:rsid w:val="00D239A0"/>
    <w:rsid w:val="00D246A4"/>
    <w:rsid w:val="00D247B1"/>
    <w:rsid w:val="00D24A28"/>
    <w:rsid w:val="00D25430"/>
    <w:rsid w:val="00D25989"/>
    <w:rsid w:val="00D25A1D"/>
    <w:rsid w:val="00D26E70"/>
    <w:rsid w:val="00D271DD"/>
    <w:rsid w:val="00D27586"/>
    <w:rsid w:val="00D27A0C"/>
    <w:rsid w:val="00D27B25"/>
    <w:rsid w:val="00D3005F"/>
    <w:rsid w:val="00D3131F"/>
    <w:rsid w:val="00D31ECA"/>
    <w:rsid w:val="00D320B6"/>
    <w:rsid w:val="00D33A13"/>
    <w:rsid w:val="00D34EFC"/>
    <w:rsid w:val="00D3512F"/>
    <w:rsid w:val="00D3523D"/>
    <w:rsid w:val="00D3567B"/>
    <w:rsid w:val="00D364E1"/>
    <w:rsid w:val="00D365C3"/>
    <w:rsid w:val="00D3726A"/>
    <w:rsid w:val="00D40BE7"/>
    <w:rsid w:val="00D428A4"/>
    <w:rsid w:val="00D44FF7"/>
    <w:rsid w:val="00D450D1"/>
    <w:rsid w:val="00D45D81"/>
    <w:rsid w:val="00D467CB"/>
    <w:rsid w:val="00D4717E"/>
    <w:rsid w:val="00D47CAD"/>
    <w:rsid w:val="00D47F03"/>
    <w:rsid w:val="00D50737"/>
    <w:rsid w:val="00D5153F"/>
    <w:rsid w:val="00D52C78"/>
    <w:rsid w:val="00D53957"/>
    <w:rsid w:val="00D53FD8"/>
    <w:rsid w:val="00D540E7"/>
    <w:rsid w:val="00D5422B"/>
    <w:rsid w:val="00D54860"/>
    <w:rsid w:val="00D54CF7"/>
    <w:rsid w:val="00D55F5E"/>
    <w:rsid w:val="00D563BC"/>
    <w:rsid w:val="00D56E5A"/>
    <w:rsid w:val="00D57B86"/>
    <w:rsid w:val="00D57F01"/>
    <w:rsid w:val="00D619F2"/>
    <w:rsid w:val="00D61C3E"/>
    <w:rsid w:val="00D61E46"/>
    <w:rsid w:val="00D6257E"/>
    <w:rsid w:val="00D6359B"/>
    <w:rsid w:val="00D63AC9"/>
    <w:rsid w:val="00D63B7F"/>
    <w:rsid w:val="00D63C20"/>
    <w:rsid w:val="00D6485A"/>
    <w:rsid w:val="00D64CF0"/>
    <w:rsid w:val="00D65750"/>
    <w:rsid w:val="00D659DF"/>
    <w:rsid w:val="00D6627D"/>
    <w:rsid w:val="00D662F8"/>
    <w:rsid w:val="00D67EEC"/>
    <w:rsid w:val="00D70132"/>
    <w:rsid w:val="00D7048E"/>
    <w:rsid w:val="00D70608"/>
    <w:rsid w:val="00D7114C"/>
    <w:rsid w:val="00D7138E"/>
    <w:rsid w:val="00D727AF"/>
    <w:rsid w:val="00D74A3A"/>
    <w:rsid w:val="00D75CD5"/>
    <w:rsid w:val="00D760AF"/>
    <w:rsid w:val="00D76154"/>
    <w:rsid w:val="00D7677C"/>
    <w:rsid w:val="00D77BA4"/>
    <w:rsid w:val="00D77BCC"/>
    <w:rsid w:val="00D77DA0"/>
    <w:rsid w:val="00D80096"/>
    <w:rsid w:val="00D82C84"/>
    <w:rsid w:val="00D83997"/>
    <w:rsid w:val="00D83D29"/>
    <w:rsid w:val="00D83FA6"/>
    <w:rsid w:val="00D85158"/>
    <w:rsid w:val="00D86163"/>
    <w:rsid w:val="00D87F9D"/>
    <w:rsid w:val="00D900DE"/>
    <w:rsid w:val="00D90805"/>
    <w:rsid w:val="00D90816"/>
    <w:rsid w:val="00D90E2F"/>
    <w:rsid w:val="00D915E8"/>
    <w:rsid w:val="00D91AD0"/>
    <w:rsid w:val="00D91E98"/>
    <w:rsid w:val="00D92A53"/>
    <w:rsid w:val="00D93FB4"/>
    <w:rsid w:val="00D9499F"/>
    <w:rsid w:val="00D95D9E"/>
    <w:rsid w:val="00D96A99"/>
    <w:rsid w:val="00DA03F6"/>
    <w:rsid w:val="00DA0EE1"/>
    <w:rsid w:val="00DA111E"/>
    <w:rsid w:val="00DA12C1"/>
    <w:rsid w:val="00DA1BD5"/>
    <w:rsid w:val="00DA1DF6"/>
    <w:rsid w:val="00DA2E79"/>
    <w:rsid w:val="00DA4183"/>
    <w:rsid w:val="00DA4E1A"/>
    <w:rsid w:val="00DA51FF"/>
    <w:rsid w:val="00DA6480"/>
    <w:rsid w:val="00DB0828"/>
    <w:rsid w:val="00DB1331"/>
    <w:rsid w:val="00DB1C2E"/>
    <w:rsid w:val="00DB26B3"/>
    <w:rsid w:val="00DB3AE1"/>
    <w:rsid w:val="00DB4B45"/>
    <w:rsid w:val="00DB591B"/>
    <w:rsid w:val="00DB66CC"/>
    <w:rsid w:val="00DB7ECF"/>
    <w:rsid w:val="00DC0CB5"/>
    <w:rsid w:val="00DC1298"/>
    <w:rsid w:val="00DC12A3"/>
    <w:rsid w:val="00DC168D"/>
    <w:rsid w:val="00DC21F0"/>
    <w:rsid w:val="00DC2542"/>
    <w:rsid w:val="00DC2783"/>
    <w:rsid w:val="00DC2829"/>
    <w:rsid w:val="00DC33F2"/>
    <w:rsid w:val="00DC356F"/>
    <w:rsid w:val="00DC3A2F"/>
    <w:rsid w:val="00DC4D6D"/>
    <w:rsid w:val="00DC5569"/>
    <w:rsid w:val="00DC55FB"/>
    <w:rsid w:val="00DC569E"/>
    <w:rsid w:val="00DC5AF9"/>
    <w:rsid w:val="00DC7482"/>
    <w:rsid w:val="00DD00CF"/>
    <w:rsid w:val="00DD015C"/>
    <w:rsid w:val="00DD072D"/>
    <w:rsid w:val="00DD0A1B"/>
    <w:rsid w:val="00DD149F"/>
    <w:rsid w:val="00DD1E7C"/>
    <w:rsid w:val="00DD1ECB"/>
    <w:rsid w:val="00DD2D79"/>
    <w:rsid w:val="00DD2F68"/>
    <w:rsid w:val="00DD37FC"/>
    <w:rsid w:val="00DD3FC8"/>
    <w:rsid w:val="00DD4C4D"/>
    <w:rsid w:val="00DD4DF3"/>
    <w:rsid w:val="00DD51D7"/>
    <w:rsid w:val="00DD5C2F"/>
    <w:rsid w:val="00DD6705"/>
    <w:rsid w:val="00DE0AF9"/>
    <w:rsid w:val="00DE1168"/>
    <w:rsid w:val="00DE11E1"/>
    <w:rsid w:val="00DE24FF"/>
    <w:rsid w:val="00DE3813"/>
    <w:rsid w:val="00DE3EE7"/>
    <w:rsid w:val="00DE4901"/>
    <w:rsid w:val="00DE615A"/>
    <w:rsid w:val="00DE7CC4"/>
    <w:rsid w:val="00DF01B1"/>
    <w:rsid w:val="00DF0475"/>
    <w:rsid w:val="00DF1BB5"/>
    <w:rsid w:val="00DF22A2"/>
    <w:rsid w:val="00DF2434"/>
    <w:rsid w:val="00DF251D"/>
    <w:rsid w:val="00DF293D"/>
    <w:rsid w:val="00DF39BC"/>
    <w:rsid w:val="00DF3B83"/>
    <w:rsid w:val="00DF4263"/>
    <w:rsid w:val="00DF5D09"/>
    <w:rsid w:val="00E025E9"/>
    <w:rsid w:val="00E02FBB"/>
    <w:rsid w:val="00E02FE7"/>
    <w:rsid w:val="00E0678C"/>
    <w:rsid w:val="00E076B4"/>
    <w:rsid w:val="00E10027"/>
    <w:rsid w:val="00E10D5D"/>
    <w:rsid w:val="00E1101E"/>
    <w:rsid w:val="00E112F9"/>
    <w:rsid w:val="00E11ACE"/>
    <w:rsid w:val="00E12EA8"/>
    <w:rsid w:val="00E13C9E"/>
    <w:rsid w:val="00E13F0B"/>
    <w:rsid w:val="00E15B87"/>
    <w:rsid w:val="00E17067"/>
    <w:rsid w:val="00E2080F"/>
    <w:rsid w:val="00E20A3D"/>
    <w:rsid w:val="00E213BA"/>
    <w:rsid w:val="00E22CD3"/>
    <w:rsid w:val="00E22F4F"/>
    <w:rsid w:val="00E23DE5"/>
    <w:rsid w:val="00E240BC"/>
    <w:rsid w:val="00E24381"/>
    <w:rsid w:val="00E247F6"/>
    <w:rsid w:val="00E24802"/>
    <w:rsid w:val="00E24F09"/>
    <w:rsid w:val="00E253D5"/>
    <w:rsid w:val="00E25A1D"/>
    <w:rsid w:val="00E26251"/>
    <w:rsid w:val="00E264FA"/>
    <w:rsid w:val="00E267FA"/>
    <w:rsid w:val="00E26D47"/>
    <w:rsid w:val="00E27325"/>
    <w:rsid w:val="00E27C3D"/>
    <w:rsid w:val="00E308F8"/>
    <w:rsid w:val="00E32190"/>
    <w:rsid w:val="00E321CC"/>
    <w:rsid w:val="00E33300"/>
    <w:rsid w:val="00E33E84"/>
    <w:rsid w:val="00E34AEA"/>
    <w:rsid w:val="00E35276"/>
    <w:rsid w:val="00E35FF9"/>
    <w:rsid w:val="00E36198"/>
    <w:rsid w:val="00E36408"/>
    <w:rsid w:val="00E3693A"/>
    <w:rsid w:val="00E41760"/>
    <w:rsid w:val="00E4214A"/>
    <w:rsid w:val="00E42298"/>
    <w:rsid w:val="00E42A0F"/>
    <w:rsid w:val="00E4480F"/>
    <w:rsid w:val="00E455BC"/>
    <w:rsid w:val="00E45B8F"/>
    <w:rsid w:val="00E45BF4"/>
    <w:rsid w:val="00E46D86"/>
    <w:rsid w:val="00E47197"/>
    <w:rsid w:val="00E4765E"/>
    <w:rsid w:val="00E504CF"/>
    <w:rsid w:val="00E509C6"/>
    <w:rsid w:val="00E52097"/>
    <w:rsid w:val="00E53091"/>
    <w:rsid w:val="00E5347D"/>
    <w:rsid w:val="00E53A40"/>
    <w:rsid w:val="00E55D62"/>
    <w:rsid w:val="00E577F7"/>
    <w:rsid w:val="00E61CAC"/>
    <w:rsid w:val="00E62049"/>
    <w:rsid w:val="00E622A0"/>
    <w:rsid w:val="00E639B0"/>
    <w:rsid w:val="00E64EED"/>
    <w:rsid w:val="00E6568D"/>
    <w:rsid w:val="00E65C5A"/>
    <w:rsid w:val="00E66A36"/>
    <w:rsid w:val="00E67B46"/>
    <w:rsid w:val="00E67FA2"/>
    <w:rsid w:val="00E700EC"/>
    <w:rsid w:val="00E70E0F"/>
    <w:rsid w:val="00E71F14"/>
    <w:rsid w:val="00E721BD"/>
    <w:rsid w:val="00E7438F"/>
    <w:rsid w:val="00E7471E"/>
    <w:rsid w:val="00E74BE6"/>
    <w:rsid w:val="00E7633E"/>
    <w:rsid w:val="00E76367"/>
    <w:rsid w:val="00E77E2C"/>
    <w:rsid w:val="00E804AB"/>
    <w:rsid w:val="00E80765"/>
    <w:rsid w:val="00E80E14"/>
    <w:rsid w:val="00E8193D"/>
    <w:rsid w:val="00E81A8D"/>
    <w:rsid w:val="00E81F63"/>
    <w:rsid w:val="00E82831"/>
    <w:rsid w:val="00E82C85"/>
    <w:rsid w:val="00E8337A"/>
    <w:rsid w:val="00E83AE5"/>
    <w:rsid w:val="00E8442D"/>
    <w:rsid w:val="00E84709"/>
    <w:rsid w:val="00E8519A"/>
    <w:rsid w:val="00E85A89"/>
    <w:rsid w:val="00E863DD"/>
    <w:rsid w:val="00E86CA0"/>
    <w:rsid w:val="00E86F67"/>
    <w:rsid w:val="00E8794C"/>
    <w:rsid w:val="00E901F8"/>
    <w:rsid w:val="00E90934"/>
    <w:rsid w:val="00E91119"/>
    <w:rsid w:val="00E91A6C"/>
    <w:rsid w:val="00E91DA8"/>
    <w:rsid w:val="00E91E5A"/>
    <w:rsid w:val="00E91EC1"/>
    <w:rsid w:val="00E924E5"/>
    <w:rsid w:val="00E94AD9"/>
    <w:rsid w:val="00E95004"/>
    <w:rsid w:val="00E959F1"/>
    <w:rsid w:val="00E95A27"/>
    <w:rsid w:val="00E95C09"/>
    <w:rsid w:val="00E95DC6"/>
    <w:rsid w:val="00E966F0"/>
    <w:rsid w:val="00E96958"/>
    <w:rsid w:val="00E96A68"/>
    <w:rsid w:val="00E96C02"/>
    <w:rsid w:val="00E970E1"/>
    <w:rsid w:val="00E9736F"/>
    <w:rsid w:val="00EA0060"/>
    <w:rsid w:val="00EA0549"/>
    <w:rsid w:val="00EA0AD2"/>
    <w:rsid w:val="00EA0B76"/>
    <w:rsid w:val="00EA0EFA"/>
    <w:rsid w:val="00EA1517"/>
    <w:rsid w:val="00EA2BDE"/>
    <w:rsid w:val="00EA32AB"/>
    <w:rsid w:val="00EA3773"/>
    <w:rsid w:val="00EA39B1"/>
    <w:rsid w:val="00EA3AC3"/>
    <w:rsid w:val="00EA3E38"/>
    <w:rsid w:val="00EA4026"/>
    <w:rsid w:val="00EA4941"/>
    <w:rsid w:val="00EA55B6"/>
    <w:rsid w:val="00EA6513"/>
    <w:rsid w:val="00EA666B"/>
    <w:rsid w:val="00EA6B40"/>
    <w:rsid w:val="00EA72B6"/>
    <w:rsid w:val="00EA75D6"/>
    <w:rsid w:val="00EA7C8F"/>
    <w:rsid w:val="00EA7FD7"/>
    <w:rsid w:val="00EB05D2"/>
    <w:rsid w:val="00EB0A7A"/>
    <w:rsid w:val="00EB0BD8"/>
    <w:rsid w:val="00EB1C4E"/>
    <w:rsid w:val="00EB2144"/>
    <w:rsid w:val="00EB257E"/>
    <w:rsid w:val="00EB2A03"/>
    <w:rsid w:val="00EB2A3C"/>
    <w:rsid w:val="00EB3EA6"/>
    <w:rsid w:val="00EB4351"/>
    <w:rsid w:val="00EB55EF"/>
    <w:rsid w:val="00EB6EEF"/>
    <w:rsid w:val="00EB71DA"/>
    <w:rsid w:val="00EB7B3B"/>
    <w:rsid w:val="00EC1439"/>
    <w:rsid w:val="00EC43EB"/>
    <w:rsid w:val="00EC4745"/>
    <w:rsid w:val="00EC5626"/>
    <w:rsid w:val="00EC71EA"/>
    <w:rsid w:val="00ED0A19"/>
    <w:rsid w:val="00ED1D32"/>
    <w:rsid w:val="00ED1F72"/>
    <w:rsid w:val="00ED2208"/>
    <w:rsid w:val="00ED2255"/>
    <w:rsid w:val="00ED2551"/>
    <w:rsid w:val="00ED2ACF"/>
    <w:rsid w:val="00ED3C78"/>
    <w:rsid w:val="00ED47DE"/>
    <w:rsid w:val="00ED4846"/>
    <w:rsid w:val="00ED4F19"/>
    <w:rsid w:val="00ED57E0"/>
    <w:rsid w:val="00ED6173"/>
    <w:rsid w:val="00ED72E5"/>
    <w:rsid w:val="00ED744F"/>
    <w:rsid w:val="00ED79AF"/>
    <w:rsid w:val="00ED7A1A"/>
    <w:rsid w:val="00ED7E4B"/>
    <w:rsid w:val="00ED7F37"/>
    <w:rsid w:val="00ED7FA1"/>
    <w:rsid w:val="00EE066F"/>
    <w:rsid w:val="00EE0938"/>
    <w:rsid w:val="00EE0D6E"/>
    <w:rsid w:val="00EE11C6"/>
    <w:rsid w:val="00EE2369"/>
    <w:rsid w:val="00EE24D4"/>
    <w:rsid w:val="00EE29F7"/>
    <w:rsid w:val="00EE2E1C"/>
    <w:rsid w:val="00EE3CFB"/>
    <w:rsid w:val="00EE455C"/>
    <w:rsid w:val="00EE48FA"/>
    <w:rsid w:val="00EE4FFA"/>
    <w:rsid w:val="00EE5B14"/>
    <w:rsid w:val="00EE5D39"/>
    <w:rsid w:val="00EE63FB"/>
    <w:rsid w:val="00EE6A3B"/>
    <w:rsid w:val="00EE725C"/>
    <w:rsid w:val="00EF01A1"/>
    <w:rsid w:val="00EF026C"/>
    <w:rsid w:val="00EF1029"/>
    <w:rsid w:val="00EF16AF"/>
    <w:rsid w:val="00EF2F70"/>
    <w:rsid w:val="00EF3D95"/>
    <w:rsid w:val="00EF48A8"/>
    <w:rsid w:val="00EF653B"/>
    <w:rsid w:val="00EF67D5"/>
    <w:rsid w:val="00EF7DF7"/>
    <w:rsid w:val="00F01925"/>
    <w:rsid w:val="00F01C99"/>
    <w:rsid w:val="00F01D70"/>
    <w:rsid w:val="00F0321C"/>
    <w:rsid w:val="00F036C4"/>
    <w:rsid w:val="00F047A2"/>
    <w:rsid w:val="00F04D62"/>
    <w:rsid w:val="00F07A90"/>
    <w:rsid w:val="00F10D7A"/>
    <w:rsid w:val="00F12484"/>
    <w:rsid w:val="00F12C06"/>
    <w:rsid w:val="00F12CEE"/>
    <w:rsid w:val="00F14F49"/>
    <w:rsid w:val="00F1574F"/>
    <w:rsid w:val="00F15BE5"/>
    <w:rsid w:val="00F16198"/>
    <w:rsid w:val="00F16CE5"/>
    <w:rsid w:val="00F16D90"/>
    <w:rsid w:val="00F175DE"/>
    <w:rsid w:val="00F17C41"/>
    <w:rsid w:val="00F17EE2"/>
    <w:rsid w:val="00F20FE4"/>
    <w:rsid w:val="00F21642"/>
    <w:rsid w:val="00F22360"/>
    <w:rsid w:val="00F227C1"/>
    <w:rsid w:val="00F23203"/>
    <w:rsid w:val="00F232F7"/>
    <w:rsid w:val="00F23982"/>
    <w:rsid w:val="00F24EBE"/>
    <w:rsid w:val="00F25CDF"/>
    <w:rsid w:val="00F26319"/>
    <w:rsid w:val="00F268FD"/>
    <w:rsid w:val="00F26A1B"/>
    <w:rsid w:val="00F278C1"/>
    <w:rsid w:val="00F27D2C"/>
    <w:rsid w:val="00F30A9C"/>
    <w:rsid w:val="00F30CAE"/>
    <w:rsid w:val="00F31F1E"/>
    <w:rsid w:val="00F31F3B"/>
    <w:rsid w:val="00F3214D"/>
    <w:rsid w:val="00F32575"/>
    <w:rsid w:val="00F32BCC"/>
    <w:rsid w:val="00F33F76"/>
    <w:rsid w:val="00F3483F"/>
    <w:rsid w:val="00F35BC4"/>
    <w:rsid w:val="00F361D9"/>
    <w:rsid w:val="00F379A3"/>
    <w:rsid w:val="00F37B3C"/>
    <w:rsid w:val="00F37F43"/>
    <w:rsid w:val="00F4043D"/>
    <w:rsid w:val="00F4067B"/>
    <w:rsid w:val="00F42055"/>
    <w:rsid w:val="00F425E2"/>
    <w:rsid w:val="00F43796"/>
    <w:rsid w:val="00F43917"/>
    <w:rsid w:val="00F4417D"/>
    <w:rsid w:val="00F44C74"/>
    <w:rsid w:val="00F45997"/>
    <w:rsid w:val="00F46C6C"/>
    <w:rsid w:val="00F47280"/>
    <w:rsid w:val="00F475DB"/>
    <w:rsid w:val="00F47606"/>
    <w:rsid w:val="00F47986"/>
    <w:rsid w:val="00F50381"/>
    <w:rsid w:val="00F51822"/>
    <w:rsid w:val="00F51980"/>
    <w:rsid w:val="00F51B2E"/>
    <w:rsid w:val="00F51E4C"/>
    <w:rsid w:val="00F526F9"/>
    <w:rsid w:val="00F52B84"/>
    <w:rsid w:val="00F53A5D"/>
    <w:rsid w:val="00F54540"/>
    <w:rsid w:val="00F56BF7"/>
    <w:rsid w:val="00F57D44"/>
    <w:rsid w:val="00F61457"/>
    <w:rsid w:val="00F6165E"/>
    <w:rsid w:val="00F619F8"/>
    <w:rsid w:val="00F61F64"/>
    <w:rsid w:val="00F62E2C"/>
    <w:rsid w:val="00F647E4"/>
    <w:rsid w:val="00F65179"/>
    <w:rsid w:val="00F65401"/>
    <w:rsid w:val="00F66882"/>
    <w:rsid w:val="00F67633"/>
    <w:rsid w:val="00F70176"/>
    <w:rsid w:val="00F71168"/>
    <w:rsid w:val="00F71241"/>
    <w:rsid w:val="00F721BA"/>
    <w:rsid w:val="00F72239"/>
    <w:rsid w:val="00F722E2"/>
    <w:rsid w:val="00F7310A"/>
    <w:rsid w:val="00F731BA"/>
    <w:rsid w:val="00F74646"/>
    <w:rsid w:val="00F74C6B"/>
    <w:rsid w:val="00F75C9B"/>
    <w:rsid w:val="00F800E7"/>
    <w:rsid w:val="00F80584"/>
    <w:rsid w:val="00F8212E"/>
    <w:rsid w:val="00F825EB"/>
    <w:rsid w:val="00F83586"/>
    <w:rsid w:val="00F847B4"/>
    <w:rsid w:val="00F8489D"/>
    <w:rsid w:val="00F84A25"/>
    <w:rsid w:val="00F84CB3"/>
    <w:rsid w:val="00F84FD6"/>
    <w:rsid w:val="00F85660"/>
    <w:rsid w:val="00F85DC6"/>
    <w:rsid w:val="00F86747"/>
    <w:rsid w:val="00F867D7"/>
    <w:rsid w:val="00F869E8"/>
    <w:rsid w:val="00F87A2A"/>
    <w:rsid w:val="00F90922"/>
    <w:rsid w:val="00F90C51"/>
    <w:rsid w:val="00F91429"/>
    <w:rsid w:val="00F925AD"/>
    <w:rsid w:val="00F92AFD"/>
    <w:rsid w:val="00F93505"/>
    <w:rsid w:val="00F93572"/>
    <w:rsid w:val="00F94633"/>
    <w:rsid w:val="00F94B54"/>
    <w:rsid w:val="00F9630D"/>
    <w:rsid w:val="00F96ADD"/>
    <w:rsid w:val="00F975BB"/>
    <w:rsid w:val="00F97A1A"/>
    <w:rsid w:val="00F97AAF"/>
    <w:rsid w:val="00F97B44"/>
    <w:rsid w:val="00FA0241"/>
    <w:rsid w:val="00FA0E32"/>
    <w:rsid w:val="00FA10CD"/>
    <w:rsid w:val="00FA171B"/>
    <w:rsid w:val="00FA2AD2"/>
    <w:rsid w:val="00FA2BF4"/>
    <w:rsid w:val="00FA329F"/>
    <w:rsid w:val="00FA373F"/>
    <w:rsid w:val="00FA581C"/>
    <w:rsid w:val="00FA58DA"/>
    <w:rsid w:val="00FA676C"/>
    <w:rsid w:val="00FA722F"/>
    <w:rsid w:val="00FB0656"/>
    <w:rsid w:val="00FB168D"/>
    <w:rsid w:val="00FB22BC"/>
    <w:rsid w:val="00FB2384"/>
    <w:rsid w:val="00FB2C45"/>
    <w:rsid w:val="00FB2FD0"/>
    <w:rsid w:val="00FB3393"/>
    <w:rsid w:val="00FB4800"/>
    <w:rsid w:val="00FB5183"/>
    <w:rsid w:val="00FB5361"/>
    <w:rsid w:val="00FB5670"/>
    <w:rsid w:val="00FB57C6"/>
    <w:rsid w:val="00FB708E"/>
    <w:rsid w:val="00FB73C8"/>
    <w:rsid w:val="00FB74B8"/>
    <w:rsid w:val="00FC2A69"/>
    <w:rsid w:val="00FC3071"/>
    <w:rsid w:val="00FC369A"/>
    <w:rsid w:val="00FC38B1"/>
    <w:rsid w:val="00FC4201"/>
    <w:rsid w:val="00FC4472"/>
    <w:rsid w:val="00FC4D7A"/>
    <w:rsid w:val="00FC64EB"/>
    <w:rsid w:val="00FC6AAA"/>
    <w:rsid w:val="00FD04F1"/>
    <w:rsid w:val="00FD104E"/>
    <w:rsid w:val="00FD3180"/>
    <w:rsid w:val="00FD31FC"/>
    <w:rsid w:val="00FD3B5F"/>
    <w:rsid w:val="00FD549E"/>
    <w:rsid w:val="00FD66BD"/>
    <w:rsid w:val="00FD6708"/>
    <w:rsid w:val="00FD6955"/>
    <w:rsid w:val="00FD6E9E"/>
    <w:rsid w:val="00FD6EFA"/>
    <w:rsid w:val="00FD7D79"/>
    <w:rsid w:val="00FE1195"/>
    <w:rsid w:val="00FE1250"/>
    <w:rsid w:val="00FE17FC"/>
    <w:rsid w:val="00FE1A67"/>
    <w:rsid w:val="00FE1BBA"/>
    <w:rsid w:val="00FE2022"/>
    <w:rsid w:val="00FE2295"/>
    <w:rsid w:val="00FE23F3"/>
    <w:rsid w:val="00FE2DE9"/>
    <w:rsid w:val="00FE33A2"/>
    <w:rsid w:val="00FE4161"/>
    <w:rsid w:val="00FE54DD"/>
    <w:rsid w:val="00FE599C"/>
    <w:rsid w:val="00FE5C75"/>
    <w:rsid w:val="00FE6A45"/>
    <w:rsid w:val="00FE6A50"/>
    <w:rsid w:val="00FE6B14"/>
    <w:rsid w:val="00FE70A9"/>
    <w:rsid w:val="00FF023E"/>
    <w:rsid w:val="00FF10B0"/>
    <w:rsid w:val="00FF1790"/>
    <w:rsid w:val="00FF18FB"/>
    <w:rsid w:val="00FF269B"/>
    <w:rsid w:val="00FF3526"/>
    <w:rsid w:val="00FF40C2"/>
    <w:rsid w:val="00FF46F8"/>
    <w:rsid w:val="00FF4719"/>
    <w:rsid w:val="00FF5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7454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List Number" w:qFormat="1"/>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03EBA"/>
    <w:pPr>
      <w:spacing w:after="200" w:line="276" w:lineRule="auto"/>
    </w:pPr>
    <w:rPr>
      <w:rFonts w:asciiTheme="minorHAnsi" w:eastAsiaTheme="minorHAnsi" w:hAnsiTheme="minorHAnsi" w:cstheme="minorBidi"/>
      <w:kern w:val="2"/>
      <w:sz w:val="22"/>
      <w:szCs w:val="22"/>
      <w:lang w:eastAsia="en-US"/>
      <w14:ligatures w14:val="standardContextual"/>
    </w:rPr>
  </w:style>
  <w:style w:type="paragraph" w:styleId="Titre1">
    <w:name w:val="heading 1"/>
    <w:basedOn w:val="Normal"/>
    <w:next w:val="Normal"/>
    <w:link w:val="Titre1Car"/>
    <w:qFormat/>
    <w:rsid w:val="00903EBA"/>
    <w:pPr>
      <w:numPr>
        <w:numId w:val="1"/>
      </w:numPr>
      <w:spacing w:before="240" w:after="60"/>
      <w:outlineLvl w:val="0"/>
    </w:pPr>
    <w:rPr>
      <w:rFonts w:ascii="Marianne" w:eastAsia="MS Mincho" w:hAnsi="Marianne" w:cs="Arial"/>
      <w:b/>
      <w:bCs/>
      <w:caps/>
      <w:color w:val="0070C0"/>
      <w:spacing w:val="20"/>
      <w:sz w:val="32"/>
      <w:szCs w:val="40"/>
    </w:rPr>
  </w:style>
  <w:style w:type="paragraph" w:styleId="Titre2">
    <w:name w:val="heading 2"/>
    <w:basedOn w:val="Normal"/>
    <w:next w:val="Normal"/>
    <w:link w:val="Titre2Car"/>
    <w:qFormat/>
    <w:rsid w:val="00903EBA"/>
    <w:pPr>
      <w:numPr>
        <w:ilvl w:val="1"/>
        <w:numId w:val="1"/>
      </w:numPr>
      <w:spacing w:before="240" w:after="60"/>
      <w:ind w:left="1296"/>
      <w:outlineLvl w:val="1"/>
    </w:pPr>
    <w:rPr>
      <w:rFonts w:eastAsia="Times" w:cs="Arial"/>
      <w:b/>
      <w:iCs/>
      <w:color w:val="0070C0"/>
      <w:sz w:val="24"/>
      <w:szCs w:val="28"/>
    </w:rPr>
  </w:style>
  <w:style w:type="paragraph" w:styleId="Titre3">
    <w:name w:val="heading 3"/>
    <w:basedOn w:val="Normal"/>
    <w:next w:val="Normal"/>
    <w:link w:val="Titre3Car"/>
    <w:qFormat/>
    <w:rsid w:val="00903EBA"/>
    <w:pPr>
      <w:numPr>
        <w:ilvl w:val="2"/>
        <w:numId w:val="1"/>
      </w:numPr>
      <w:tabs>
        <w:tab w:val="left" w:pos="851"/>
      </w:tabs>
      <w:spacing w:before="240" w:after="60"/>
      <w:outlineLvl w:val="2"/>
    </w:pPr>
    <w:rPr>
      <w:rFonts w:cs="Arial"/>
      <w:b/>
      <w:bCs/>
      <w:color w:val="0070C0"/>
      <w:spacing w:val="10"/>
    </w:rPr>
  </w:style>
  <w:style w:type="paragraph" w:styleId="Titre4">
    <w:name w:val="heading 4"/>
    <w:aliases w:val="Annexes"/>
    <w:basedOn w:val="Normal"/>
    <w:next w:val="Normal"/>
    <w:link w:val="Titre4Car"/>
    <w:qFormat/>
    <w:rsid w:val="008D6583"/>
    <w:pPr>
      <w:numPr>
        <w:numId w:val="29"/>
      </w:numPr>
      <w:spacing w:before="240"/>
      <w:ind w:left="360"/>
      <w:outlineLvl w:val="3"/>
    </w:pPr>
    <w:rPr>
      <w:rFonts w:cs="Arial"/>
      <w:b/>
      <w:color w:val="0070C0"/>
      <w:spacing w:val="20"/>
      <w:sz w:val="24"/>
      <w:szCs w:val="20"/>
    </w:rPr>
  </w:style>
  <w:style w:type="paragraph" w:styleId="Titre5">
    <w:name w:val="heading 5"/>
    <w:basedOn w:val="Normal"/>
    <w:next w:val="Normal"/>
    <w:qFormat/>
    <w:rsid w:val="00903EBA"/>
    <w:pPr>
      <w:numPr>
        <w:ilvl w:val="4"/>
        <w:numId w:val="1"/>
      </w:numPr>
      <w:outlineLvl w:val="4"/>
    </w:pPr>
    <w:rPr>
      <w:b/>
      <w:bCs/>
      <w:i/>
      <w:iCs/>
      <w:color w:val="5D5D5D"/>
      <w:sz w:val="18"/>
      <w:szCs w:val="26"/>
    </w:rPr>
  </w:style>
  <w:style w:type="paragraph" w:styleId="Titre6">
    <w:name w:val="heading 6"/>
    <w:basedOn w:val="Normal"/>
    <w:next w:val="Normal"/>
    <w:link w:val="Titre6Car"/>
    <w:qFormat/>
    <w:rsid w:val="00903EBA"/>
    <w:pPr>
      <w:numPr>
        <w:ilvl w:val="5"/>
        <w:numId w:val="1"/>
      </w:numPr>
      <w:spacing w:before="240" w:after="60"/>
      <w:outlineLvl w:val="5"/>
    </w:pPr>
    <w:rPr>
      <w:b/>
      <w:bCs/>
    </w:rPr>
  </w:style>
  <w:style w:type="paragraph" w:styleId="Titre7">
    <w:name w:val="heading 7"/>
    <w:basedOn w:val="Normal"/>
    <w:next w:val="Normal"/>
    <w:link w:val="Titre7Car"/>
    <w:qFormat/>
    <w:rsid w:val="00903EBA"/>
    <w:pPr>
      <w:numPr>
        <w:ilvl w:val="6"/>
        <w:numId w:val="1"/>
      </w:numPr>
      <w:spacing w:before="240" w:after="60"/>
      <w:outlineLvl w:val="6"/>
    </w:pPr>
  </w:style>
  <w:style w:type="paragraph" w:styleId="Titre8">
    <w:name w:val="heading 8"/>
    <w:basedOn w:val="Normal"/>
    <w:next w:val="Normal"/>
    <w:link w:val="Titre8Car"/>
    <w:qFormat/>
    <w:rsid w:val="00903EBA"/>
    <w:pPr>
      <w:numPr>
        <w:ilvl w:val="7"/>
        <w:numId w:val="1"/>
      </w:numPr>
      <w:spacing w:before="240" w:after="60"/>
      <w:outlineLvl w:val="7"/>
    </w:pPr>
    <w:rPr>
      <w:i/>
      <w:iCs/>
    </w:rPr>
  </w:style>
  <w:style w:type="paragraph" w:styleId="Titre9">
    <w:name w:val="heading 9"/>
    <w:basedOn w:val="Normal"/>
    <w:next w:val="Normal"/>
    <w:link w:val="Titre9Car"/>
    <w:qFormat/>
    <w:rsid w:val="00903EBA"/>
    <w:pPr>
      <w:numPr>
        <w:ilvl w:val="8"/>
        <w:numId w:val="1"/>
      </w:numPr>
      <w:spacing w:before="240" w:after="60"/>
      <w:outlineLvl w:val="8"/>
    </w:pPr>
    <w:rPr>
      <w:rFonts w:ascii="Cambria" w:hAnsi="Cambri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03EBA"/>
    <w:rPr>
      <w:rFonts w:ascii="Marianne" w:eastAsia="MS Mincho" w:hAnsi="Marianne" w:cs="Arial"/>
      <w:b/>
      <w:bCs/>
      <w:caps/>
      <w:color w:val="0070C0"/>
      <w:spacing w:val="20"/>
      <w:kern w:val="2"/>
      <w:sz w:val="32"/>
      <w:szCs w:val="40"/>
      <w:lang w:eastAsia="en-US"/>
      <w14:ligatures w14:val="standardContextual"/>
    </w:rPr>
  </w:style>
  <w:style w:type="character" w:customStyle="1" w:styleId="Titre2Car">
    <w:name w:val="Titre 2 Car"/>
    <w:link w:val="Titre2"/>
    <w:rsid w:val="00903EBA"/>
    <w:rPr>
      <w:rFonts w:asciiTheme="minorHAnsi" w:eastAsia="Times" w:hAnsiTheme="minorHAnsi" w:cs="Arial"/>
      <w:b/>
      <w:iCs/>
      <w:color w:val="0070C0"/>
      <w:kern w:val="2"/>
      <w:sz w:val="24"/>
      <w:szCs w:val="28"/>
      <w:lang w:eastAsia="en-US"/>
      <w14:ligatures w14:val="standardContextual"/>
    </w:rPr>
  </w:style>
  <w:style w:type="character" w:customStyle="1" w:styleId="Titre3Car">
    <w:name w:val="Titre 3 Car"/>
    <w:link w:val="Titre3"/>
    <w:rsid w:val="00903EBA"/>
    <w:rPr>
      <w:rFonts w:asciiTheme="minorHAnsi" w:eastAsiaTheme="minorHAnsi" w:hAnsiTheme="minorHAnsi" w:cs="Arial"/>
      <w:b/>
      <w:bCs/>
      <w:color w:val="0070C0"/>
      <w:spacing w:val="10"/>
      <w:kern w:val="2"/>
      <w:sz w:val="22"/>
      <w:szCs w:val="22"/>
      <w:lang w:eastAsia="en-US"/>
      <w14:ligatures w14:val="standardContextual"/>
    </w:rPr>
  </w:style>
  <w:style w:type="paragraph" w:styleId="Paragraphedeliste">
    <w:name w:val="List Paragraph"/>
    <w:basedOn w:val="Normal"/>
    <w:uiPriority w:val="34"/>
    <w:qFormat/>
    <w:rsid w:val="00903EBA"/>
    <w:pPr>
      <w:spacing w:before="60"/>
      <w:ind w:left="720"/>
    </w:pPr>
  </w:style>
  <w:style w:type="character" w:customStyle="1" w:styleId="Titre4Car">
    <w:name w:val="Titre 4 Car"/>
    <w:aliases w:val="Annexes Car"/>
    <w:link w:val="Titre4"/>
    <w:rsid w:val="008D6583"/>
    <w:rPr>
      <w:rFonts w:asciiTheme="minorHAnsi" w:eastAsiaTheme="minorHAnsi" w:hAnsiTheme="minorHAnsi" w:cs="Arial"/>
      <w:b/>
      <w:color w:val="0070C0"/>
      <w:spacing w:val="20"/>
      <w:kern w:val="2"/>
      <w:sz w:val="24"/>
      <w:lang w:eastAsia="en-US"/>
      <w14:ligatures w14:val="standardContextual"/>
    </w:rPr>
  </w:style>
  <w:style w:type="character" w:customStyle="1" w:styleId="Titre6Car">
    <w:name w:val="Titre 6 Car"/>
    <w:link w:val="Titre6"/>
    <w:rsid w:val="00903EBA"/>
    <w:rPr>
      <w:rFonts w:asciiTheme="minorHAnsi" w:eastAsiaTheme="minorHAnsi" w:hAnsiTheme="minorHAnsi" w:cstheme="minorBidi"/>
      <w:b/>
      <w:bCs/>
      <w:kern w:val="2"/>
      <w:sz w:val="22"/>
      <w:szCs w:val="22"/>
      <w:lang w:eastAsia="en-US"/>
      <w14:ligatures w14:val="standardContextual"/>
    </w:rPr>
  </w:style>
  <w:style w:type="character" w:customStyle="1" w:styleId="Titre7Car">
    <w:name w:val="Titre 7 Car"/>
    <w:link w:val="Titre7"/>
    <w:rsid w:val="00903EBA"/>
    <w:rPr>
      <w:rFonts w:asciiTheme="minorHAnsi" w:eastAsiaTheme="minorHAnsi" w:hAnsiTheme="minorHAnsi" w:cstheme="minorBidi"/>
      <w:kern w:val="2"/>
      <w:sz w:val="22"/>
      <w:szCs w:val="22"/>
      <w:lang w:eastAsia="en-US"/>
      <w14:ligatures w14:val="standardContextual"/>
    </w:rPr>
  </w:style>
  <w:style w:type="character" w:customStyle="1" w:styleId="Titre8Car">
    <w:name w:val="Titre 8 Car"/>
    <w:link w:val="Titre8"/>
    <w:rsid w:val="00903EBA"/>
    <w:rPr>
      <w:rFonts w:asciiTheme="minorHAnsi" w:eastAsiaTheme="minorHAnsi" w:hAnsiTheme="minorHAnsi" w:cstheme="minorBidi"/>
      <w:i/>
      <w:iCs/>
      <w:kern w:val="2"/>
      <w:sz w:val="22"/>
      <w:szCs w:val="22"/>
      <w:lang w:eastAsia="en-US"/>
      <w14:ligatures w14:val="standardContextual"/>
    </w:rPr>
  </w:style>
  <w:style w:type="character" w:customStyle="1" w:styleId="Titre9Car">
    <w:name w:val="Titre 9 Car"/>
    <w:link w:val="Titre9"/>
    <w:rsid w:val="00903EBA"/>
    <w:rPr>
      <w:rFonts w:ascii="Cambria" w:eastAsiaTheme="minorHAnsi" w:hAnsi="Cambria" w:cstheme="minorBidi"/>
      <w:kern w:val="2"/>
      <w:sz w:val="22"/>
      <w:szCs w:val="22"/>
      <w:lang w:eastAsia="en-US"/>
      <w14:ligatures w14:val="standardContextual"/>
    </w:rPr>
  </w:style>
  <w:style w:type="paragraph" w:styleId="En-tte">
    <w:name w:val="header"/>
    <w:aliases w:val="Page Header,En-tête1,Bayer Header"/>
    <w:basedOn w:val="Normal"/>
    <w:link w:val="En-tteCar"/>
    <w:rsid w:val="00903EBA"/>
    <w:pPr>
      <w:tabs>
        <w:tab w:val="center" w:pos="4536"/>
        <w:tab w:val="right" w:pos="9072"/>
      </w:tabs>
    </w:pPr>
  </w:style>
  <w:style w:type="paragraph" w:styleId="Pieddepage">
    <w:name w:val="footer"/>
    <w:basedOn w:val="Normal"/>
    <w:link w:val="PieddepageCar"/>
    <w:uiPriority w:val="99"/>
    <w:rsid w:val="00903EBA"/>
    <w:pPr>
      <w:tabs>
        <w:tab w:val="center" w:pos="4536"/>
        <w:tab w:val="right" w:pos="9072"/>
      </w:tabs>
    </w:pPr>
  </w:style>
  <w:style w:type="character" w:customStyle="1" w:styleId="PieddepageCar">
    <w:name w:val="Pied de page Car"/>
    <w:link w:val="Pieddepage"/>
    <w:uiPriority w:val="99"/>
    <w:rsid w:val="00903EBA"/>
    <w:rPr>
      <w:rFonts w:asciiTheme="minorHAnsi" w:eastAsiaTheme="minorHAnsi" w:hAnsiTheme="minorHAnsi" w:cstheme="minorBidi"/>
      <w:kern w:val="2"/>
      <w:sz w:val="22"/>
      <w:szCs w:val="22"/>
      <w:lang w:eastAsia="en-US"/>
      <w14:ligatures w14:val="standardContextual"/>
    </w:rPr>
  </w:style>
  <w:style w:type="character" w:styleId="Numrodepage">
    <w:name w:val="page number"/>
    <w:basedOn w:val="Policepardfaut"/>
    <w:uiPriority w:val="99"/>
    <w:rsid w:val="00903EBA"/>
    <w:rPr>
      <w:rFonts w:ascii="Marianne Light" w:hAnsi="Marianne Light"/>
      <w:b w:val="0"/>
      <w:i w:val="0"/>
      <w:sz w:val="20"/>
    </w:rPr>
  </w:style>
  <w:style w:type="paragraph" w:customStyle="1" w:styleId="TITRETABLEAURECO">
    <w:name w:val="TITRE TABLEAU RECO"/>
    <w:basedOn w:val="Normal"/>
    <w:next w:val="Normal"/>
    <w:link w:val="TITRETABLEAURECOCar"/>
    <w:rsid w:val="00903EBA"/>
    <w:rPr>
      <w:b/>
      <w:color w:val="595959"/>
      <w:szCs w:val="18"/>
    </w:rPr>
  </w:style>
  <w:style w:type="character" w:customStyle="1" w:styleId="TITRETABLEAURECOCar">
    <w:name w:val="TITRE TABLEAU RECO Car"/>
    <w:link w:val="TITRETABLEAURECO"/>
    <w:rsid w:val="00903EBA"/>
    <w:rPr>
      <w:rFonts w:asciiTheme="minorHAnsi" w:eastAsiaTheme="minorHAnsi" w:hAnsiTheme="minorHAnsi" w:cstheme="minorBidi"/>
      <w:b/>
      <w:color w:val="595959"/>
      <w:kern w:val="2"/>
      <w:sz w:val="22"/>
      <w:szCs w:val="18"/>
      <w:lang w:eastAsia="en-US"/>
      <w14:ligatures w14:val="standardContextual"/>
    </w:rPr>
  </w:style>
  <w:style w:type="paragraph" w:styleId="TM5">
    <w:name w:val="toc 5"/>
    <w:basedOn w:val="Normal"/>
    <w:next w:val="Normal"/>
    <w:autoRedefine/>
    <w:uiPriority w:val="39"/>
    <w:rsid w:val="00903EBA"/>
    <w:pPr>
      <w:ind w:left="960"/>
    </w:pPr>
    <w:rPr>
      <w:sz w:val="18"/>
      <w:szCs w:val="18"/>
    </w:rPr>
  </w:style>
  <w:style w:type="paragraph" w:styleId="TM6">
    <w:name w:val="toc 6"/>
    <w:basedOn w:val="Normal"/>
    <w:next w:val="Normal"/>
    <w:autoRedefine/>
    <w:uiPriority w:val="39"/>
    <w:rsid w:val="00903EBA"/>
    <w:pPr>
      <w:ind w:left="1200"/>
    </w:pPr>
    <w:rPr>
      <w:sz w:val="18"/>
      <w:szCs w:val="18"/>
    </w:rPr>
  </w:style>
  <w:style w:type="paragraph" w:styleId="TM7">
    <w:name w:val="toc 7"/>
    <w:basedOn w:val="Normal"/>
    <w:next w:val="Normal"/>
    <w:autoRedefine/>
    <w:uiPriority w:val="39"/>
    <w:rsid w:val="00903EBA"/>
    <w:pPr>
      <w:ind w:left="1440"/>
    </w:pPr>
    <w:rPr>
      <w:sz w:val="18"/>
      <w:szCs w:val="18"/>
    </w:rPr>
  </w:style>
  <w:style w:type="paragraph" w:styleId="TM1">
    <w:name w:val="toc 1"/>
    <w:basedOn w:val="Normal"/>
    <w:next w:val="Normal"/>
    <w:autoRedefine/>
    <w:uiPriority w:val="39"/>
    <w:qFormat/>
    <w:rsid w:val="00903EBA"/>
    <w:pPr>
      <w:tabs>
        <w:tab w:val="right" w:leader="dot" w:pos="9062"/>
      </w:tabs>
      <w:spacing w:after="120"/>
    </w:pPr>
    <w:rPr>
      <w:b/>
      <w:bCs/>
      <w:caps/>
      <w:szCs w:val="20"/>
    </w:rPr>
  </w:style>
  <w:style w:type="paragraph" w:styleId="TM2">
    <w:name w:val="toc 2"/>
    <w:basedOn w:val="Normal"/>
    <w:next w:val="Normal"/>
    <w:autoRedefine/>
    <w:uiPriority w:val="39"/>
    <w:qFormat/>
    <w:rsid w:val="00903EBA"/>
    <w:pPr>
      <w:ind w:left="240"/>
    </w:pPr>
    <w:rPr>
      <w:smallCaps/>
      <w:szCs w:val="20"/>
    </w:rPr>
  </w:style>
  <w:style w:type="paragraph" w:styleId="TM3">
    <w:name w:val="toc 3"/>
    <w:basedOn w:val="Normal"/>
    <w:next w:val="Normal"/>
    <w:autoRedefine/>
    <w:uiPriority w:val="39"/>
    <w:qFormat/>
    <w:rsid w:val="00903EBA"/>
    <w:pPr>
      <w:tabs>
        <w:tab w:val="left" w:pos="1560"/>
        <w:tab w:val="right" w:leader="dot" w:pos="9072"/>
      </w:tabs>
      <w:ind w:left="993"/>
    </w:pPr>
    <w:rPr>
      <w:iCs/>
      <w:szCs w:val="20"/>
    </w:rPr>
  </w:style>
  <w:style w:type="paragraph" w:styleId="TM4">
    <w:name w:val="toc 4"/>
    <w:basedOn w:val="Normal"/>
    <w:next w:val="Normal"/>
    <w:autoRedefine/>
    <w:uiPriority w:val="39"/>
    <w:rsid w:val="00903EBA"/>
    <w:pPr>
      <w:ind w:left="720"/>
    </w:pPr>
    <w:rPr>
      <w:sz w:val="18"/>
      <w:szCs w:val="18"/>
    </w:rPr>
  </w:style>
  <w:style w:type="character" w:styleId="Lienhypertexte">
    <w:name w:val="Hyperlink"/>
    <w:uiPriority w:val="99"/>
    <w:rsid w:val="00903EBA"/>
    <w:rPr>
      <w:color w:val="0000FF"/>
      <w:u w:val="single"/>
    </w:rPr>
  </w:style>
  <w:style w:type="paragraph" w:styleId="Tabledesillustrations">
    <w:name w:val="table of figures"/>
    <w:basedOn w:val="Normal"/>
    <w:next w:val="Normal"/>
    <w:link w:val="TabledesillustrationsCar"/>
    <w:autoRedefine/>
    <w:uiPriority w:val="99"/>
    <w:rsid w:val="00903EBA"/>
    <w:rPr>
      <w:rFonts w:ascii="Arial" w:hAnsi="Arial"/>
    </w:rPr>
  </w:style>
  <w:style w:type="character" w:customStyle="1" w:styleId="TabledesillustrationsCar">
    <w:name w:val="Table des illustrations Car"/>
    <w:link w:val="Tabledesillustrations"/>
    <w:uiPriority w:val="99"/>
    <w:rsid w:val="00903EBA"/>
    <w:rPr>
      <w:rFonts w:ascii="Arial" w:eastAsiaTheme="minorHAnsi" w:hAnsi="Arial" w:cstheme="minorBidi"/>
      <w:kern w:val="2"/>
      <w:sz w:val="22"/>
      <w:szCs w:val="22"/>
      <w:lang w:eastAsia="en-US"/>
      <w14:ligatures w14:val="standardContextual"/>
    </w:rPr>
  </w:style>
  <w:style w:type="paragraph" w:styleId="TM8">
    <w:name w:val="toc 8"/>
    <w:basedOn w:val="Normal"/>
    <w:next w:val="Normal"/>
    <w:autoRedefine/>
    <w:uiPriority w:val="39"/>
    <w:rsid w:val="00903EBA"/>
    <w:pPr>
      <w:ind w:left="1680"/>
    </w:pPr>
    <w:rPr>
      <w:sz w:val="18"/>
      <w:szCs w:val="18"/>
    </w:rPr>
  </w:style>
  <w:style w:type="paragraph" w:styleId="TM9">
    <w:name w:val="toc 9"/>
    <w:basedOn w:val="Normal"/>
    <w:next w:val="Normal"/>
    <w:autoRedefine/>
    <w:uiPriority w:val="39"/>
    <w:rsid w:val="00903EBA"/>
    <w:pPr>
      <w:ind w:left="1920"/>
    </w:pPr>
    <w:rPr>
      <w:sz w:val="18"/>
      <w:szCs w:val="18"/>
    </w:rPr>
  </w:style>
  <w:style w:type="table" w:styleId="Grilledutableau">
    <w:name w:val="Table Grid"/>
    <w:basedOn w:val="TableauNormal"/>
    <w:uiPriority w:val="59"/>
    <w:rsid w:val="0090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rsid w:val="00903EBA"/>
    <w:rPr>
      <w:sz w:val="16"/>
      <w:szCs w:val="16"/>
    </w:rPr>
  </w:style>
  <w:style w:type="paragraph" w:styleId="Sous-titre">
    <w:name w:val="Subtitle"/>
    <w:basedOn w:val="Normal"/>
    <w:rsid w:val="00903EBA"/>
    <w:pPr>
      <w:tabs>
        <w:tab w:val="right" w:pos="540"/>
        <w:tab w:val="left" w:pos="720"/>
      </w:tabs>
      <w:autoSpaceDE w:val="0"/>
      <w:autoSpaceDN w:val="0"/>
      <w:adjustRightInd w:val="0"/>
      <w:spacing w:after="240"/>
      <w:ind w:left="720" w:hanging="720"/>
    </w:pPr>
    <w:rPr>
      <w:rFonts w:ascii="Arial" w:hAnsi="Arial" w:cs="Arial"/>
      <w:b/>
      <w:bCs/>
      <w:sz w:val="21"/>
      <w:szCs w:val="20"/>
      <w:lang w:val="en-US"/>
    </w:rPr>
  </w:style>
  <w:style w:type="character" w:styleId="Lienhypertextesuivivisit">
    <w:name w:val="FollowedHyperlink"/>
    <w:rsid w:val="00903EBA"/>
    <w:rPr>
      <w:color w:val="800080"/>
      <w:sz w:val="24"/>
      <w:u w:val="single"/>
      <w:lang w:val="en-US" w:eastAsia="en-US" w:bidi="ar-SA"/>
    </w:rPr>
  </w:style>
  <w:style w:type="paragraph" w:styleId="Rvision">
    <w:name w:val="Revision"/>
    <w:basedOn w:val="Normal"/>
    <w:hidden/>
    <w:uiPriority w:val="99"/>
    <w:semiHidden/>
    <w:rsid w:val="00903EBA"/>
    <w:pPr>
      <w:spacing w:line="240" w:lineRule="auto"/>
    </w:pPr>
    <w:rPr>
      <w:rFonts w:ascii="Times New Roman" w:hAnsi="Times New Roman" w:cs="Times New Roman"/>
      <w:sz w:val="24"/>
    </w:rPr>
  </w:style>
  <w:style w:type="paragraph" w:styleId="Notedebasdepage">
    <w:name w:val="footnote text"/>
    <w:basedOn w:val="Normal"/>
    <w:link w:val="NotedebasdepageCar"/>
    <w:autoRedefine/>
    <w:qFormat/>
    <w:rsid w:val="00903EBA"/>
    <w:pPr>
      <w:tabs>
        <w:tab w:val="left" w:pos="284"/>
      </w:tabs>
      <w:ind w:left="284" w:hanging="284"/>
    </w:pPr>
    <w:rPr>
      <w:rFonts w:cs="Times New Roman"/>
      <w:sz w:val="18"/>
      <w:szCs w:val="16"/>
    </w:rPr>
  </w:style>
  <w:style w:type="character" w:customStyle="1" w:styleId="NotedebasdepageCar">
    <w:name w:val="Note de bas de page Car"/>
    <w:link w:val="Notedebasdepage"/>
    <w:rsid w:val="00903EBA"/>
    <w:rPr>
      <w:rFonts w:asciiTheme="minorHAnsi" w:eastAsiaTheme="minorHAnsi" w:hAnsiTheme="minorHAnsi"/>
      <w:kern w:val="2"/>
      <w:sz w:val="18"/>
      <w:szCs w:val="16"/>
      <w:lang w:eastAsia="en-US"/>
      <w14:ligatures w14:val="standardContextual"/>
    </w:rPr>
  </w:style>
  <w:style w:type="character" w:styleId="Appelnotedebasdep">
    <w:name w:val="footnote reference"/>
    <w:semiHidden/>
    <w:rsid w:val="00903EBA"/>
    <w:rPr>
      <w:vertAlign w:val="superscript"/>
    </w:rPr>
  </w:style>
  <w:style w:type="paragraph" w:styleId="Corpsdetexte2">
    <w:name w:val="Body Text 2"/>
    <w:basedOn w:val="Normal"/>
    <w:rsid w:val="00903EBA"/>
    <w:pPr>
      <w:spacing w:after="120" w:line="480" w:lineRule="auto"/>
    </w:pPr>
  </w:style>
  <w:style w:type="paragraph" w:styleId="Corpsdetexte">
    <w:name w:val="Body Text"/>
    <w:basedOn w:val="Normal"/>
    <w:link w:val="CorpsdetexteCar"/>
    <w:rsid w:val="00903EBA"/>
    <w:rPr>
      <w:rFonts w:ascii="Tahoma" w:hAnsi="Tahoma"/>
    </w:rPr>
  </w:style>
  <w:style w:type="character" w:customStyle="1" w:styleId="CorpsdetexteCar">
    <w:name w:val="Corps de texte Car"/>
    <w:link w:val="Corpsdetexte"/>
    <w:rsid w:val="00903EBA"/>
    <w:rPr>
      <w:rFonts w:ascii="Tahoma" w:eastAsiaTheme="minorHAnsi" w:hAnsi="Tahoma" w:cstheme="minorBidi"/>
      <w:kern w:val="2"/>
      <w:sz w:val="22"/>
      <w:szCs w:val="22"/>
      <w:lang w:eastAsia="en-US"/>
      <w14:ligatures w14:val="standardContextual"/>
    </w:rPr>
  </w:style>
  <w:style w:type="paragraph" w:styleId="Corpsdetexte3">
    <w:name w:val="Body Text 3"/>
    <w:basedOn w:val="Normal"/>
    <w:rsid w:val="00903EBA"/>
    <w:pPr>
      <w:autoSpaceDE w:val="0"/>
      <w:autoSpaceDN w:val="0"/>
      <w:adjustRightInd w:val="0"/>
    </w:pPr>
    <w:rPr>
      <w:rFonts w:ascii="Comic Sans MS" w:hAnsi="Comic Sans MS"/>
      <w:color w:val="2C2A2A"/>
    </w:rPr>
  </w:style>
  <w:style w:type="paragraph" w:styleId="NormalWeb">
    <w:name w:val="Normal (Web)"/>
    <w:basedOn w:val="Normal"/>
    <w:uiPriority w:val="99"/>
    <w:rsid w:val="00903EBA"/>
    <w:rPr>
      <w:rFonts w:ascii="Arial" w:hAnsi="Arial" w:cs="Arial"/>
    </w:rPr>
  </w:style>
  <w:style w:type="paragraph" w:styleId="Commentaire">
    <w:name w:val="annotation text"/>
    <w:basedOn w:val="Normal"/>
    <w:link w:val="CommentaireCar"/>
    <w:uiPriority w:val="99"/>
    <w:rsid w:val="00903EBA"/>
    <w:rPr>
      <w:szCs w:val="20"/>
    </w:rPr>
  </w:style>
  <w:style w:type="character" w:customStyle="1" w:styleId="CommentaireCar">
    <w:name w:val="Commentaire Car"/>
    <w:link w:val="Commentaire"/>
    <w:uiPriority w:val="99"/>
    <w:rsid w:val="00903EBA"/>
    <w:rPr>
      <w:rFonts w:asciiTheme="minorHAnsi" w:eastAsiaTheme="minorHAnsi" w:hAnsiTheme="minorHAnsi" w:cstheme="minorBidi"/>
      <w:kern w:val="2"/>
      <w:sz w:val="22"/>
      <w:lang w:eastAsia="en-US"/>
      <w14:ligatures w14:val="standardContextual"/>
    </w:rPr>
  </w:style>
  <w:style w:type="paragraph" w:styleId="Objetducommentaire">
    <w:name w:val="annotation subject"/>
    <w:basedOn w:val="Commentaire"/>
    <w:next w:val="Commentaire"/>
    <w:semiHidden/>
    <w:rsid w:val="00903EBA"/>
    <w:rPr>
      <w:b/>
      <w:bCs/>
    </w:rPr>
  </w:style>
  <w:style w:type="paragraph" w:styleId="Sansinterligne">
    <w:name w:val="No Spacing"/>
    <w:basedOn w:val="Normal"/>
    <w:link w:val="SansinterligneCar"/>
    <w:rsid w:val="00903EBA"/>
    <w:pPr>
      <w:spacing w:line="240" w:lineRule="auto"/>
    </w:pPr>
    <w:rPr>
      <w:rFonts w:ascii="Calibri" w:hAnsi="Calibri" w:cs="Times New Roman"/>
    </w:rPr>
  </w:style>
  <w:style w:type="character" w:customStyle="1" w:styleId="SansinterligneCar">
    <w:name w:val="Sans interligne Car"/>
    <w:link w:val="Sansinterligne"/>
    <w:rsid w:val="00903EBA"/>
    <w:rPr>
      <w:rFonts w:ascii="Calibri" w:eastAsiaTheme="minorHAnsi" w:hAnsi="Calibri"/>
      <w:kern w:val="2"/>
      <w:sz w:val="22"/>
      <w:szCs w:val="22"/>
      <w:lang w:eastAsia="en-US"/>
      <w14:ligatures w14:val="standardContextual"/>
    </w:rPr>
  </w:style>
  <w:style w:type="paragraph" w:styleId="Explorateurdedocuments">
    <w:name w:val="Document Map"/>
    <w:basedOn w:val="Normal"/>
    <w:semiHidden/>
    <w:rsid w:val="00903EBA"/>
    <w:pPr>
      <w:shd w:val="clear" w:color="auto" w:fill="000080"/>
    </w:pPr>
    <w:rPr>
      <w:rFonts w:ascii="Tahoma" w:hAnsi="Tahoma"/>
      <w:szCs w:val="20"/>
    </w:rPr>
  </w:style>
  <w:style w:type="character" w:customStyle="1" w:styleId="nlmon-behalf-of">
    <w:name w:val="nlm_on-behalf-of"/>
    <w:basedOn w:val="Policepardfaut"/>
    <w:rsid w:val="00903EBA"/>
    <w:rPr>
      <w:rFonts w:ascii="Marianne Light" w:hAnsi="Marianne Light"/>
      <w:b w:val="0"/>
      <w:i w:val="0"/>
      <w:sz w:val="20"/>
    </w:rPr>
  </w:style>
  <w:style w:type="character" w:customStyle="1" w:styleId="citation">
    <w:name w:val="citation"/>
    <w:basedOn w:val="Policepardfaut"/>
    <w:rsid w:val="00903EBA"/>
    <w:rPr>
      <w:rFonts w:ascii="Marianne Light" w:hAnsi="Marianne Light"/>
      <w:b w:val="0"/>
      <w:i w:val="0"/>
      <w:sz w:val="20"/>
    </w:rPr>
  </w:style>
  <w:style w:type="paragraph" w:styleId="Notedefin">
    <w:name w:val="endnote text"/>
    <w:basedOn w:val="Normal"/>
    <w:link w:val="NotedefinCar"/>
    <w:rsid w:val="00903EBA"/>
    <w:rPr>
      <w:szCs w:val="20"/>
    </w:rPr>
  </w:style>
  <w:style w:type="character" w:customStyle="1" w:styleId="NotedefinCar">
    <w:name w:val="Note de fin Car"/>
    <w:link w:val="Notedefin"/>
    <w:rsid w:val="00903EBA"/>
    <w:rPr>
      <w:rFonts w:asciiTheme="minorHAnsi" w:eastAsiaTheme="minorHAnsi" w:hAnsiTheme="minorHAnsi" w:cstheme="minorBidi"/>
      <w:kern w:val="2"/>
      <w:sz w:val="22"/>
      <w:lang w:eastAsia="en-US"/>
      <w14:ligatures w14:val="standardContextual"/>
    </w:rPr>
  </w:style>
  <w:style w:type="character" w:styleId="Appeldenotedefin">
    <w:name w:val="endnote reference"/>
    <w:rsid w:val="00903EBA"/>
    <w:rPr>
      <w:vertAlign w:val="superscript"/>
    </w:rPr>
  </w:style>
  <w:style w:type="character" w:customStyle="1" w:styleId="fulltext-it">
    <w:name w:val="fulltext-it"/>
    <w:basedOn w:val="Policepardfaut"/>
    <w:rsid w:val="00903EBA"/>
    <w:rPr>
      <w:rFonts w:ascii="Marianne Light" w:hAnsi="Marianne Light"/>
      <w:b w:val="0"/>
      <w:i w:val="0"/>
      <w:sz w:val="20"/>
    </w:rPr>
  </w:style>
  <w:style w:type="paragraph" w:styleId="Normalcentr">
    <w:name w:val="Block Text"/>
    <w:basedOn w:val="Normal"/>
    <w:rsid w:val="00903EBA"/>
    <w:pPr>
      <w:ind w:left="360" w:right="26"/>
    </w:pPr>
    <w:rPr>
      <w:rFonts w:ascii="Tahoma" w:hAnsi="Tahoma"/>
      <w:szCs w:val="20"/>
      <w:lang w:eastAsia="en-GB"/>
    </w:rPr>
  </w:style>
  <w:style w:type="character" w:customStyle="1" w:styleId="FootnoteCharacters">
    <w:name w:val="Footnote Characters"/>
    <w:rsid w:val="00903EBA"/>
    <w:rPr>
      <w:sz w:val="24"/>
      <w:u w:val="single"/>
      <w:vertAlign w:val="superscript"/>
      <w:lang w:val="en-US" w:eastAsia="en-US" w:bidi="ar-SA"/>
    </w:rPr>
  </w:style>
  <w:style w:type="paragraph" w:customStyle="1" w:styleId="NormalTahoma">
    <w:name w:val="Normal + Tahoma"/>
    <w:aliases w:val="11 pt"/>
    <w:basedOn w:val="Normal"/>
    <w:rsid w:val="00903EBA"/>
  </w:style>
  <w:style w:type="paragraph" w:customStyle="1" w:styleId="Figuren">
    <w:name w:val="Figure n°"/>
    <w:basedOn w:val="Normal"/>
    <w:rsid w:val="00903EBA"/>
    <w:pPr>
      <w:tabs>
        <w:tab w:val="num" w:pos="180"/>
      </w:tabs>
      <w:ind w:left="180" w:firstLine="288"/>
    </w:pPr>
  </w:style>
  <w:style w:type="paragraph" w:customStyle="1" w:styleId="Paragraphedeliste1">
    <w:name w:val="Paragraphe de liste1"/>
    <w:basedOn w:val="Normal"/>
    <w:rsid w:val="00903EBA"/>
    <w:pPr>
      <w:overflowPunct w:val="0"/>
      <w:autoSpaceDE w:val="0"/>
      <w:autoSpaceDN w:val="0"/>
      <w:adjustRightInd w:val="0"/>
      <w:ind w:left="720"/>
      <w:textAlignment w:val="baseline"/>
    </w:pPr>
    <w:rPr>
      <w:szCs w:val="20"/>
      <w:lang w:val="en-US"/>
    </w:rPr>
  </w:style>
  <w:style w:type="paragraph" w:customStyle="1" w:styleId="Notes">
    <w:name w:val="Notes"/>
    <w:basedOn w:val="Notedebasdepage"/>
    <w:link w:val="NotesCar"/>
    <w:rsid w:val="00903EBA"/>
    <w:pPr>
      <w:spacing w:line="288" w:lineRule="auto"/>
      <w:contextualSpacing/>
    </w:pPr>
  </w:style>
  <w:style w:type="character" w:customStyle="1" w:styleId="NotesCar">
    <w:name w:val="Notes Car"/>
    <w:link w:val="Notes"/>
    <w:rsid w:val="00903EBA"/>
    <w:rPr>
      <w:rFonts w:asciiTheme="minorHAnsi" w:eastAsiaTheme="minorHAnsi" w:hAnsiTheme="minorHAnsi"/>
      <w:kern w:val="2"/>
      <w:sz w:val="18"/>
      <w:szCs w:val="16"/>
      <w:lang w:eastAsia="en-US"/>
      <w14:ligatures w14:val="standardContextual"/>
    </w:rPr>
  </w:style>
  <w:style w:type="character" w:styleId="CitationHTML">
    <w:name w:val="HTML Cite"/>
    <w:rsid w:val="00903EBA"/>
    <w:rPr>
      <w:i/>
      <w:iCs/>
    </w:rPr>
  </w:style>
  <w:style w:type="paragraph" w:customStyle="1" w:styleId="Donnesessentielles">
    <w:name w:val="Données essentielles"/>
    <w:basedOn w:val="Normal"/>
    <w:link w:val="DonnesessentiellesCar"/>
    <w:rsid w:val="00903EBA"/>
    <w:pPr>
      <w:shd w:val="clear" w:color="auto" w:fill="FDE9D9"/>
      <w:ind w:left="360" w:hanging="360"/>
    </w:pPr>
    <w:rPr>
      <w:sz w:val="18"/>
      <w:szCs w:val="18"/>
    </w:rPr>
  </w:style>
  <w:style w:type="character" w:customStyle="1" w:styleId="DonnesessentiellesCar">
    <w:name w:val="Données essentielles Car"/>
    <w:link w:val="Donnesessentielles"/>
    <w:rsid w:val="00903EBA"/>
    <w:rPr>
      <w:rFonts w:asciiTheme="minorHAnsi" w:eastAsiaTheme="minorHAnsi" w:hAnsiTheme="minorHAnsi" w:cstheme="minorBidi"/>
      <w:kern w:val="2"/>
      <w:sz w:val="18"/>
      <w:szCs w:val="18"/>
      <w:shd w:val="clear" w:color="auto" w:fill="FDE9D9"/>
      <w:lang w:eastAsia="en-US"/>
      <w14:ligatures w14:val="standardContextual"/>
    </w:rPr>
  </w:style>
  <w:style w:type="table" w:styleId="Grilledetableau8">
    <w:name w:val="Table Grid 8"/>
    <w:basedOn w:val="TableauNormal"/>
    <w:rsid w:val="00903EBA"/>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Emphaseintense">
    <w:name w:val="Intense Emphasis"/>
    <w:uiPriority w:val="99"/>
    <w:qFormat/>
    <w:rsid w:val="00903EBA"/>
    <w:rPr>
      <w:b/>
      <w:bCs/>
      <w:i/>
      <w:iCs/>
      <w:color w:val="4F81BD"/>
    </w:rPr>
  </w:style>
  <w:style w:type="paragraph" w:styleId="Date">
    <w:name w:val="Date"/>
    <w:basedOn w:val="Normal"/>
    <w:next w:val="Normal"/>
    <w:link w:val="DateCar"/>
    <w:rsid w:val="00903EBA"/>
  </w:style>
  <w:style w:type="character" w:customStyle="1" w:styleId="DateCar">
    <w:name w:val="Date Car"/>
    <w:link w:val="Date"/>
    <w:rsid w:val="00903EBA"/>
    <w:rPr>
      <w:rFonts w:asciiTheme="minorHAnsi" w:eastAsiaTheme="minorHAnsi" w:hAnsiTheme="minorHAnsi" w:cstheme="minorBidi"/>
      <w:kern w:val="2"/>
      <w:sz w:val="22"/>
      <w:szCs w:val="22"/>
      <w:lang w:eastAsia="en-US"/>
      <w14:ligatures w14:val="standardContextual"/>
    </w:rPr>
  </w:style>
  <w:style w:type="paragraph" w:customStyle="1" w:styleId="FAITSMARQUANTS">
    <w:name w:val="FAITS MARQUANTS"/>
    <w:basedOn w:val="Normal"/>
    <w:link w:val="FAITSMARQUANTSCar"/>
    <w:qFormat/>
    <w:rsid w:val="00903EBA"/>
    <w:pPr>
      <w:pBdr>
        <w:left w:val="dotted" w:sz="48" w:space="4" w:color="660066"/>
      </w:pBdr>
      <w:shd w:val="clear" w:color="auto" w:fill="F2F2F2"/>
      <w:spacing w:before="240"/>
      <w:ind w:left="2268"/>
    </w:pPr>
  </w:style>
  <w:style w:type="character" w:customStyle="1" w:styleId="FAITSMARQUANTSCar">
    <w:name w:val="FAITS MARQUANTS Car"/>
    <w:link w:val="FAITSMARQUANTS"/>
    <w:rsid w:val="00903EBA"/>
    <w:rPr>
      <w:rFonts w:asciiTheme="minorHAnsi" w:eastAsiaTheme="minorHAnsi" w:hAnsiTheme="minorHAnsi" w:cstheme="minorBidi"/>
      <w:kern w:val="2"/>
      <w:sz w:val="22"/>
      <w:szCs w:val="22"/>
      <w:shd w:val="clear" w:color="auto" w:fill="F2F2F2"/>
      <w:lang w:eastAsia="en-US"/>
      <w14:ligatures w14:val="standardContextual"/>
    </w:rPr>
  </w:style>
  <w:style w:type="paragraph" w:customStyle="1" w:styleId="CorpsdetexteCorpsdetexte1">
    <w:name w:val="Corps de texte.Corps de texte1"/>
    <w:basedOn w:val="Normal"/>
    <w:rsid w:val="00903EBA"/>
    <w:rPr>
      <w:rFonts w:cs="Times New Roman"/>
    </w:rPr>
  </w:style>
  <w:style w:type="character" w:styleId="Textedelespacerserv">
    <w:name w:val="Placeholder Text"/>
    <w:uiPriority w:val="99"/>
    <w:semiHidden/>
    <w:rsid w:val="00903EBA"/>
    <w:rPr>
      <w:color w:val="808080"/>
    </w:rPr>
  </w:style>
  <w:style w:type="character" w:customStyle="1" w:styleId="Mentionnonrsolue1">
    <w:name w:val="Mention non résolue1"/>
    <w:uiPriority w:val="99"/>
    <w:semiHidden/>
    <w:unhideWhenUsed/>
    <w:rsid w:val="00903EBA"/>
    <w:rPr>
      <w:color w:val="605E5C"/>
      <w:shd w:val="clear" w:color="auto" w:fill="E1DFDD"/>
    </w:rPr>
  </w:style>
  <w:style w:type="character" w:customStyle="1" w:styleId="En-tteCar">
    <w:name w:val="En-tête Car"/>
    <w:aliases w:val="Page Header Car,En-tête1 Car,Bayer Header Car"/>
    <w:link w:val="En-tte"/>
    <w:rsid w:val="00903EBA"/>
    <w:rPr>
      <w:rFonts w:asciiTheme="minorHAnsi" w:eastAsiaTheme="minorHAnsi" w:hAnsiTheme="minorHAnsi" w:cstheme="minorBidi"/>
      <w:kern w:val="2"/>
      <w:sz w:val="22"/>
      <w:szCs w:val="22"/>
      <w:lang w:eastAsia="en-US"/>
      <w14:ligatures w14:val="standardContextual"/>
    </w:rPr>
  </w:style>
  <w:style w:type="character" w:customStyle="1" w:styleId="consigne">
    <w:name w:val="consigne"/>
    <w:rsid w:val="00903EBA"/>
    <w:rPr>
      <w:rFonts w:ascii="Comic Sans MS" w:hAnsi="Comic Sans MS"/>
      <w:i/>
      <w:sz w:val="22"/>
    </w:rPr>
  </w:style>
  <w:style w:type="numbering" w:customStyle="1" w:styleId="Listeactuelle1">
    <w:name w:val="Liste actuelle1"/>
    <w:uiPriority w:val="99"/>
    <w:rsid w:val="00903EBA"/>
    <w:pPr>
      <w:numPr>
        <w:numId w:val="5"/>
      </w:numPr>
    </w:pPr>
  </w:style>
  <w:style w:type="numbering" w:customStyle="1" w:styleId="Listeactuelle2">
    <w:name w:val="Liste actuelle2"/>
    <w:uiPriority w:val="99"/>
    <w:rsid w:val="00903EBA"/>
    <w:pPr>
      <w:numPr>
        <w:numId w:val="17"/>
      </w:numPr>
    </w:pPr>
  </w:style>
  <w:style w:type="numbering" w:customStyle="1" w:styleId="Listeactuelle3">
    <w:name w:val="Liste actuelle3"/>
    <w:uiPriority w:val="99"/>
    <w:rsid w:val="00903EBA"/>
    <w:pPr>
      <w:numPr>
        <w:numId w:val="18"/>
      </w:numPr>
    </w:pPr>
  </w:style>
  <w:style w:type="paragraph" w:customStyle="1" w:styleId="Titreoptions">
    <w:name w:val="Titre options"/>
    <w:basedOn w:val="Normal"/>
    <w:rsid w:val="00903EBA"/>
    <w:pPr>
      <w:numPr>
        <w:numId w:val="22"/>
      </w:numPr>
      <w:shd w:val="clear" w:color="auto" w:fill="D9D9D9"/>
      <w:spacing w:before="120" w:after="0"/>
      <w:jc w:val="both"/>
    </w:pPr>
    <w:rPr>
      <w:rFonts w:eastAsia="Times New Roman" w:cs="Tahoma"/>
      <w:b/>
      <w:color w:val="660033"/>
      <w:szCs w:val="24"/>
      <w:lang w:eastAsia="fr-FR"/>
    </w:rPr>
  </w:style>
  <w:style w:type="table" w:customStyle="1" w:styleId="Tableausimple21">
    <w:name w:val="Tableau simple 21"/>
    <w:basedOn w:val="TableauNormal"/>
    <w:uiPriority w:val="42"/>
    <w:rsid w:val="00903E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ev">
    <w:name w:val="Strong"/>
    <w:basedOn w:val="Policepardfaut"/>
    <w:uiPriority w:val="22"/>
    <w:qFormat/>
    <w:rsid w:val="00903EBA"/>
    <w:rPr>
      <w:b/>
      <w:bCs/>
    </w:rPr>
  </w:style>
  <w:style w:type="character" w:styleId="Accentuation">
    <w:name w:val="Emphasis"/>
    <w:basedOn w:val="Policepardfaut"/>
    <w:uiPriority w:val="20"/>
    <w:qFormat/>
    <w:rsid w:val="00903EBA"/>
    <w:rPr>
      <w:i/>
      <w:iCs/>
    </w:rPr>
  </w:style>
  <w:style w:type="paragraph" w:styleId="Textedebulles">
    <w:name w:val="Balloon Text"/>
    <w:basedOn w:val="Normal"/>
    <w:link w:val="TextedebullesCar"/>
    <w:rsid w:val="00903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03EBA"/>
    <w:rPr>
      <w:rFonts w:ascii="Tahoma" w:eastAsiaTheme="minorHAnsi" w:hAnsi="Tahoma" w:cs="Tahoma"/>
      <w:kern w:val="2"/>
      <w:sz w:val="16"/>
      <w:szCs w:val="16"/>
      <w:lang w:eastAsia="en-US"/>
      <w14:ligatures w14:val="standardContextual"/>
    </w:rPr>
  </w:style>
  <w:style w:type="character" w:customStyle="1" w:styleId="Puceniv01CarCar">
    <w:name w:val="Puce niv 01 Car Car"/>
    <w:link w:val="Puceniv01"/>
    <w:qFormat/>
    <w:rsid w:val="00903EBA"/>
  </w:style>
  <w:style w:type="paragraph" w:customStyle="1" w:styleId="Puceniv01">
    <w:name w:val="Puce niv 01"/>
    <w:basedOn w:val="Paragraphedeliste"/>
    <w:link w:val="Puceniv01CarCar"/>
    <w:autoRedefine/>
    <w:qFormat/>
    <w:rsid w:val="00903EBA"/>
    <w:pPr>
      <w:suppressAutoHyphens/>
      <w:spacing w:before="0"/>
      <w:ind w:left="0"/>
      <w:contextualSpacing/>
      <w:jc w:val="both"/>
    </w:pPr>
    <w:rPr>
      <w:rFonts w:ascii="Times New Roman" w:eastAsia="Times New Roman" w:hAnsi="Times New Roman" w:cs="Times New Roman"/>
      <w:kern w:val="0"/>
      <w:sz w:val="20"/>
      <w:szCs w:val="20"/>
      <w:lang w:eastAsia="fr-FR"/>
      <w14:ligatures w14:val="none"/>
    </w:rPr>
  </w:style>
  <w:style w:type="paragraph" w:styleId="En-ttedetabledesmatires">
    <w:name w:val="TOC Heading"/>
    <w:basedOn w:val="Titre1"/>
    <w:next w:val="Normal"/>
    <w:uiPriority w:val="39"/>
    <w:qFormat/>
    <w:rsid w:val="00903EBA"/>
    <w:pPr>
      <w:keepNext/>
      <w:keepLines/>
      <w:numPr>
        <w:numId w:val="0"/>
      </w:numPr>
      <w:spacing w:before="480" w:after="0"/>
      <w:outlineLvl w:val="9"/>
    </w:pPr>
    <w:rPr>
      <w:rFonts w:asciiTheme="majorHAnsi" w:eastAsiaTheme="majorEastAsia" w:hAnsiTheme="majorHAnsi" w:cstheme="majorBidi"/>
      <w:caps w:val="0"/>
      <w:color w:val="365F91" w:themeColor="accent1" w:themeShade="BF"/>
      <w:spacing w:val="0"/>
      <w:sz w:val="28"/>
      <w:szCs w:val="28"/>
    </w:rPr>
  </w:style>
  <w:style w:type="paragraph" w:styleId="Titre">
    <w:name w:val="Title"/>
    <w:basedOn w:val="Normal"/>
    <w:next w:val="Normal"/>
    <w:link w:val="TitreCar"/>
    <w:uiPriority w:val="10"/>
    <w:qFormat/>
    <w:rsid w:val="008D6583"/>
    <w:pPr>
      <w:pBdr>
        <w:bottom w:val="single" w:sz="8" w:space="4" w:color="4F81BD" w:themeColor="accent1"/>
      </w:pBdr>
      <w:spacing w:after="300" w:line="240" w:lineRule="auto"/>
      <w:contextualSpacing/>
    </w:pPr>
    <w:rPr>
      <w:rFonts w:eastAsiaTheme="majorEastAsia" w:cstheme="majorBidi"/>
      <w:b/>
      <w:color w:val="0070C0"/>
      <w:spacing w:val="5"/>
      <w:kern w:val="28"/>
      <w:sz w:val="24"/>
      <w:szCs w:val="52"/>
    </w:rPr>
  </w:style>
  <w:style w:type="character" w:customStyle="1" w:styleId="TitreCar">
    <w:name w:val="Titre Car"/>
    <w:basedOn w:val="Policepardfaut"/>
    <w:link w:val="Titre"/>
    <w:uiPriority w:val="10"/>
    <w:rsid w:val="008D6583"/>
    <w:rPr>
      <w:rFonts w:asciiTheme="minorHAnsi" w:eastAsiaTheme="majorEastAsia" w:hAnsiTheme="minorHAnsi" w:cstheme="majorBidi"/>
      <w:b/>
      <w:color w:val="0070C0"/>
      <w:spacing w:val="5"/>
      <w:kern w:val="28"/>
      <w:sz w:val="24"/>
      <w:szCs w:val="5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List Number" w:qFormat="1"/>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03EBA"/>
    <w:pPr>
      <w:spacing w:after="200" w:line="276" w:lineRule="auto"/>
    </w:pPr>
    <w:rPr>
      <w:rFonts w:asciiTheme="minorHAnsi" w:eastAsiaTheme="minorHAnsi" w:hAnsiTheme="minorHAnsi" w:cstheme="minorBidi"/>
      <w:kern w:val="2"/>
      <w:sz w:val="22"/>
      <w:szCs w:val="22"/>
      <w:lang w:eastAsia="en-US"/>
      <w14:ligatures w14:val="standardContextual"/>
    </w:rPr>
  </w:style>
  <w:style w:type="paragraph" w:styleId="Titre1">
    <w:name w:val="heading 1"/>
    <w:basedOn w:val="Normal"/>
    <w:next w:val="Normal"/>
    <w:link w:val="Titre1Car"/>
    <w:qFormat/>
    <w:rsid w:val="00903EBA"/>
    <w:pPr>
      <w:numPr>
        <w:numId w:val="1"/>
      </w:numPr>
      <w:spacing w:before="240" w:after="60"/>
      <w:outlineLvl w:val="0"/>
    </w:pPr>
    <w:rPr>
      <w:rFonts w:ascii="Marianne" w:eastAsia="MS Mincho" w:hAnsi="Marianne" w:cs="Arial"/>
      <w:b/>
      <w:bCs/>
      <w:caps/>
      <w:color w:val="0070C0"/>
      <w:spacing w:val="20"/>
      <w:sz w:val="32"/>
      <w:szCs w:val="40"/>
    </w:rPr>
  </w:style>
  <w:style w:type="paragraph" w:styleId="Titre2">
    <w:name w:val="heading 2"/>
    <w:basedOn w:val="Normal"/>
    <w:next w:val="Normal"/>
    <w:link w:val="Titre2Car"/>
    <w:qFormat/>
    <w:rsid w:val="00903EBA"/>
    <w:pPr>
      <w:numPr>
        <w:ilvl w:val="1"/>
        <w:numId w:val="1"/>
      </w:numPr>
      <w:spacing w:before="240" w:after="60"/>
      <w:ind w:left="1296"/>
      <w:outlineLvl w:val="1"/>
    </w:pPr>
    <w:rPr>
      <w:rFonts w:eastAsia="Times" w:cs="Arial"/>
      <w:b/>
      <w:iCs/>
      <w:color w:val="0070C0"/>
      <w:sz w:val="24"/>
      <w:szCs w:val="28"/>
    </w:rPr>
  </w:style>
  <w:style w:type="paragraph" w:styleId="Titre3">
    <w:name w:val="heading 3"/>
    <w:basedOn w:val="Normal"/>
    <w:next w:val="Normal"/>
    <w:link w:val="Titre3Car"/>
    <w:qFormat/>
    <w:rsid w:val="00903EBA"/>
    <w:pPr>
      <w:numPr>
        <w:ilvl w:val="2"/>
        <w:numId w:val="1"/>
      </w:numPr>
      <w:tabs>
        <w:tab w:val="left" w:pos="851"/>
      </w:tabs>
      <w:spacing w:before="240" w:after="60"/>
      <w:outlineLvl w:val="2"/>
    </w:pPr>
    <w:rPr>
      <w:rFonts w:cs="Arial"/>
      <w:b/>
      <w:bCs/>
      <w:color w:val="0070C0"/>
      <w:spacing w:val="10"/>
    </w:rPr>
  </w:style>
  <w:style w:type="paragraph" w:styleId="Titre4">
    <w:name w:val="heading 4"/>
    <w:aliases w:val="Annexes"/>
    <w:basedOn w:val="Normal"/>
    <w:next w:val="Normal"/>
    <w:link w:val="Titre4Car"/>
    <w:qFormat/>
    <w:rsid w:val="008D6583"/>
    <w:pPr>
      <w:numPr>
        <w:numId w:val="29"/>
      </w:numPr>
      <w:spacing w:before="240"/>
      <w:ind w:left="360"/>
      <w:outlineLvl w:val="3"/>
    </w:pPr>
    <w:rPr>
      <w:rFonts w:cs="Arial"/>
      <w:b/>
      <w:color w:val="0070C0"/>
      <w:spacing w:val="20"/>
      <w:sz w:val="24"/>
      <w:szCs w:val="20"/>
    </w:rPr>
  </w:style>
  <w:style w:type="paragraph" w:styleId="Titre5">
    <w:name w:val="heading 5"/>
    <w:basedOn w:val="Normal"/>
    <w:next w:val="Normal"/>
    <w:qFormat/>
    <w:rsid w:val="00903EBA"/>
    <w:pPr>
      <w:numPr>
        <w:ilvl w:val="4"/>
        <w:numId w:val="1"/>
      </w:numPr>
      <w:outlineLvl w:val="4"/>
    </w:pPr>
    <w:rPr>
      <w:b/>
      <w:bCs/>
      <w:i/>
      <w:iCs/>
      <w:color w:val="5D5D5D"/>
      <w:sz w:val="18"/>
      <w:szCs w:val="26"/>
    </w:rPr>
  </w:style>
  <w:style w:type="paragraph" w:styleId="Titre6">
    <w:name w:val="heading 6"/>
    <w:basedOn w:val="Normal"/>
    <w:next w:val="Normal"/>
    <w:link w:val="Titre6Car"/>
    <w:qFormat/>
    <w:rsid w:val="00903EBA"/>
    <w:pPr>
      <w:numPr>
        <w:ilvl w:val="5"/>
        <w:numId w:val="1"/>
      </w:numPr>
      <w:spacing w:before="240" w:after="60"/>
      <w:outlineLvl w:val="5"/>
    </w:pPr>
    <w:rPr>
      <w:b/>
      <w:bCs/>
    </w:rPr>
  </w:style>
  <w:style w:type="paragraph" w:styleId="Titre7">
    <w:name w:val="heading 7"/>
    <w:basedOn w:val="Normal"/>
    <w:next w:val="Normal"/>
    <w:link w:val="Titre7Car"/>
    <w:qFormat/>
    <w:rsid w:val="00903EBA"/>
    <w:pPr>
      <w:numPr>
        <w:ilvl w:val="6"/>
        <w:numId w:val="1"/>
      </w:numPr>
      <w:spacing w:before="240" w:after="60"/>
      <w:outlineLvl w:val="6"/>
    </w:pPr>
  </w:style>
  <w:style w:type="paragraph" w:styleId="Titre8">
    <w:name w:val="heading 8"/>
    <w:basedOn w:val="Normal"/>
    <w:next w:val="Normal"/>
    <w:link w:val="Titre8Car"/>
    <w:qFormat/>
    <w:rsid w:val="00903EBA"/>
    <w:pPr>
      <w:numPr>
        <w:ilvl w:val="7"/>
        <w:numId w:val="1"/>
      </w:numPr>
      <w:spacing w:before="240" w:after="60"/>
      <w:outlineLvl w:val="7"/>
    </w:pPr>
    <w:rPr>
      <w:i/>
      <w:iCs/>
    </w:rPr>
  </w:style>
  <w:style w:type="paragraph" w:styleId="Titre9">
    <w:name w:val="heading 9"/>
    <w:basedOn w:val="Normal"/>
    <w:next w:val="Normal"/>
    <w:link w:val="Titre9Car"/>
    <w:qFormat/>
    <w:rsid w:val="00903EBA"/>
    <w:pPr>
      <w:numPr>
        <w:ilvl w:val="8"/>
        <w:numId w:val="1"/>
      </w:numPr>
      <w:spacing w:before="240" w:after="60"/>
      <w:outlineLvl w:val="8"/>
    </w:pPr>
    <w:rPr>
      <w:rFonts w:ascii="Cambria" w:hAnsi="Cambri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03EBA"/>
    <w:rPr>
      <w:rFonts w:ascii="Marianne" w:eastAsia="MS Mincho" w:hAnsi="Marianne" w:cs="Arial"/>
      <w:b/>
      <w:bCs/>
      <w:caps/>
      <w:color w:val="0070C0"/>
      <w:spacing w:val="20"/>
      <w:kern w:val="2"/>
      <w:sz w:val="32"/>
      <w:szCs w:val="40"/>
      <w:lang w:eastAsia="en-US"/>
      <w14:ligatures w14:val="standardContextual"/>
    </w:rPr>
  </w:style>
  <w:style w:type="character" w:customStyle="1" w:styleId="Titre2Car">
    <w:name w:val="Titre 2 Car"/>
    <w:link w:val="Titre2"/>
    <w:rsid w:val="00903EBA"/>
    <w:rPr>
      <w:rFonts w:asciiTheme="minorHAnsi" w:eastAsia="Times" w:hAnsiTheme="minorHAnsi" w:cs="Arial"/>
      <w:b/>
      <w:iCs/>
      <w:color w:val="0070C0"/>
      <w:kern w:val="2"/>
      <w:sz w:val="24"/>
      <w:szCs w:val="28"/>
      <w:lang w:eastAsia="en-US"/>
      <w14:ligatures w14:val="standardContextual"/>
    </w:rPr>
  </w:style>
  <w:style w:type="character" w:customStyle="1" w:styleId="Titre3Car">
    <w:name w:val="Titre 3 Car"/>
    <w:link w:val="Titre3"/>
    <w:rsid w:val="00903EBA"/>
    <w:rPr>
      <w:rFonts w:asciiTheme="minorHAnsi" w:eastAsiaTheme="minorHAnsi" w:hAnsiTheme="minorHAnsi" w:cs="Arial"/>
      <w:b/>
      <w:bCs/>
      <w:color w:val="0070C0"/>
      <w:spacing w:val="10"/>
      <w:kern w:val="2"/>
      <w:sz w:val="22"/>
      <w:szCs w:val="22"/>
      <w:lang w:eastAsia="en-US"/>
      <w14:ligatures w14:val="standardContextual"/>
    </w:rPr>
  </w:style>
  <w:style w:type="paragraph" w:styleId="Paragraphedeliste">
    <w:name w:val="List Paragraph"/>
    <w:basedOn w:val="Normal"/>
    <w:uiPriority w:val="34"/>
    <w:qFormat/>
    <w:rsid w:val="00903EBA"/>
    <w:pPr>
      <w:spacing w:before="60"/>
      <w:ind w:left="720"/>
    </w:pPr>
  </w:style>
  <w:style w:type="character" w:customStyle="1" w:styleId="Titre4Car">
    <w:name w:val="Titre 4 Car"/>
    <w:aliases w:val="Annexes Car"/>
    <w:link w:val="Titre4"/>
    <w:rsid w:val="008D6583"/>
    <w:rPr>
      <w:rFonts w:asciiTheme="minorHAnsi" w:eastAsiaTheme="minorHAnsi" w:hAnsiTheme="minorHAnsi" w:cs="Arial"/>
      <w:b/>
      <w:color w:val="0070C0"/>
      <w:spacing w:val="20"/>
      <w:kern w:val="2"/>
      <w:sz w:val="24"/>
      <w:lang w:eastAsia="en-US"/>
      <w14:ligatures w14:val="standardContextual"/>
    </w:rPr>
  </w:style>
  <w:style w:type="character" w:customStyle="1" w:styleId="Titre6Car">
    <w:name w:val="Titre 6 Car"/>
    <w:link w:val="Titre6"/>
    <w:rsid w:val="00903EBA"/>
    <w:rPr>
      <w:rFonts w:asciiTheme="minorHAnsi" w:eastAsiaTheme="minorHAnsi" w:hAnsiTheme="minorHAnsi" w:cstheme="minorBidi"/>
      <w:b/>
      <w:bCs/>
      <w:kern w:val="2"/>
      <w:sz w:val="22"/>
      <w:szCs w:val="22"/>
      <w:lang w:eastAsia="en-US"/>
      <w14:ligatures w14:val="standardContextual"/>
    </w:rPr>
  </w:style>
  <w:style w:type="character" w:customStyle="1" w:styleId="Titre7Car">
    <w:name w:val="Titre 7 Car"/>
    <w:link w:val="Titre7"/>
    <w:rsid w:val="00903EBA"/>
    <w:rPr>
      <w:rFonts w:asciiTheme="minorHAnsi" w:eastAsiaTheme="minorHAnsi" w:hAnsiTheme="minorHAnsi" w:cstheme="minorBidi"/>
      <w:kern w:val="2"/>
      <w:sz w:val="22"/>
      <w:szCs w:val="22"/>
      <w:lang w:eastAsia="en-US"/>
      <w14:ligatures w14:val="standardContextual"/>
    </w:rPr>
  </w:style>
  <w:style w:type="character" w:customStyle="1" w:styleId="Titre8Car">
    <w:name w:val="Titre 8 Car"/>
    <w:link w:val="Titre8"/>
    <w:rsid w:val="00903EBA"/>
    <w:rPr>
      <w:rFonts w:asciiTheme="minorHAnsi" w:eastAsiaTheme="minorHAnsi" w:hAnsiTheme="minorHAnsi" w:cstheme="minorBidi"/>
      <w:i/>
      <w:iCs/>
      <w:kern w:val="2"/>
      <w:sz w:val="22"/>
      <w:szCs w:val="22"/>
      <w:lang w:eastAsia="en-US"/>
      <w14:ligatures w14:val="standardContextual"/>
    </w:rPr>
  </w:style>
  <w:style w:type="character" w:customStyle="1" w:styleId="Titre9Car">
    <w:name w:val="Titre 9 Car"/>
    <w:link w:val="Titre9"/>
    <w:rsid w:val="00903EBA"/>
    <w:rPr>
      <w:rFonts w:ascii="Cambria" w:eastAsiaTheme="minorHAnsi" w:hAnsi="Cambria" w:cstheme="minorBidi"/>
      <w:kern w:val="2"/>
      <w:sz w:val="22"/>
      <w:szCs w:val="22"/>
      <w:lang w:eastAsia="en-US"/>
      <w14:ligatures w14:val="standardContextual"/>
    </w:rPr>
  </w:style>
  <w:style w:type="paragraph" w:styleId="En-tte">
    <w:name w:val="header"/>
    <w:aliases w:val="Page Header,En-tête1,Bayer Header"/>
    <w:basedOn w:val="Normal"/>
    <w:link w:val="En-tteCar"/>
    <w:rsid w:val="00903EBA"/>
    <w:pPr>
      <w:tabs>
        <w:tab w:val="center" w:pos="4536"/>
        <w:tab w:val="right" w:pos="9072"/>
      </w:tabs>
    </w:pPr>
  </w:style>
  <w:style w:type="paragraph" w:styleId="Pieddepage">
    <w:name w:val="footer"/>
    <w:basedOn w:val="Normal"/>
    <w:link w:val="PieddepageCar"/>
    <w:uiPriority w:val="99"/>
    <w:rsid w:val="00903EBA"/>
    <w:pPr>
      <w:tabs>
        <w:tab w:val="center" w:pos="4536"/>
        <w:tab w:val="right" w:pos="9072"/>
      </w:tabs>
    </w:pPr>
  </w:style>
  <w:style w:type="character" w:customStyle="1" w:styleId="PieddepageCar">
    <w:name w:val="Pied de page Car"/>
    <w:link w:val="Pieddepage"/>
    <w:uiPriority w:val="99"/>
    <w:rsid w:val="00903EBA"/>
    <w:rPr>
      <w:rFonts w:asciiTheme="minorHAnsi" w:eastAsiaTheme="minorHAnsi" w:hAnsiTheme="minorHAnsi" w:cstheme="minorBidi"/>
      <w:kern w:val="2"/>
      <w:sz w:val="22"/>
      <w:szCs w:val="22"/>
      <w:lang w:eastAsia="en-US"/>
      <w14:ligatures w14:val="standardContextual"/>
    </w:rPr>
  </w:style>
  <w:style w:type="character" w:styleId="Numrodepage">
    <w:name w:val="page number"/>
    <w:basedOn w:val="Policepardfaut"/>
    <w:uiPriority w:val="99"/>
    <w:rsid w:val="00903EBA"/>
    <w:rPr>
      <w:rFonts w:ascii="Marianne Light" w:hAnsi="Marianne Light"/>
      <w:b w:val="0"/>
      <w:i w:val="0"/>
      <w:sz w:val="20"/>
    </w:rPr>
  </w:style>
  <w:style w:type="paragraph" w:customStyle="1" w:styleId="TITRETABLEAURECO">
    <w:name w:val="TITRE TABLEAU RECO"/>
    <w:basedOn w:val="Normal"/>
    <w:next w:val="Normal"/>
    <w:link w:val="TITRETABLEAURECOCar"/>
    <w:rsid w:val="00903EBA"/>
    <w:rPr>
      <w:b/>
      <w:color w:val="595959"/>
      <w:szCs w:val="18"/>
    </w:rPr>
  </w:style>
  <w:style w:type="character" w:customStyle="1" w:styleId="TITRETABLEAURECOCar">
    <w:name w:val="TITRE TABLEAU RECO Car"/>
    <w:link w:val="TITRETABLEAURECO"/>
    <w:rsid w:val="00903EBA"/>
    <w:rPr>
      <w:rFonts w:asciiTheme="minorHAnsi" w:eastAsiaTheme="minorHAnsi" w:hAnsiTheme="minorHAnsi" w:cstheme="minorBidi"/>
      <w:b/>
      <w:color w:val="595959"/>
      <w:kern w:val="2"/>
      <w:sz w:val="22"/>
      <w:szCs w:val="18"/>
      <w:lang w:eastAsia="en-US"/>
      <w14:ligatures w14:val="standardContextual"/>
    </w:rPr>
  </w:style>
  <w:style w:type="paragraph" w:styleId="TM5">
    <w:name w:val="toc 5"/>
    <w:basedOn w:val="Normal"/>
    <w:next w:val="Normal"/>
    <w:autoRedefine/>
    <w:uiPriority w:val="39"/>
    <w:rsid w:val="00903EBA"/>
    <w:pPr>
      <w:ind w:left="960"/>
    </w:pPr>
    <w:rPr>
      <w:sz w:val="18"/>
      <w:szCs w:val="18"/>
    </w:rPr>
  </w:style>
  <w:style w:type="paragraph" w:styleId="TM6">
    <w:name w:val="toc 6"/>
    <w:basedOn w:val="Normal"/>
    <w:next w:val="Normal"/>
    <w:autoRedefine/>
    <w:uiPriority w:val="39"/>
    <w:rsid w:val="00903EBA"/>
    <w:pPr>
      <w:ind w:left="1200"/>
    </w:pPr>
    <w:rPr>
      <w:sz w:val="18"/>
      <w:szCs w:val="18"/>
    </w:rPr>
  </w:style>
  <w:style w:type="paragraph" w:styleId="TM7">
    <w:name w:val="toc 7"/>
    <w:basedOn w:val="Normal"/>
    <w:next w:val="Normal"/>
    <w:autoRedefine/>
    <w:uiPriority w:val="39"/>
    <w:rsid w:val="00903EBA"/>
    <w:pPr>
      <w:ind w:left="1440"/>
    </w:pPr>
    <w:rPr>
      <w:sz w:val="18"/>
      <w:szCs w:val="18"/>
    </w:rPr>
  </w:style>
  <w:style w:type="paragraph" w:styleId="TM1">
    <w:name w:val="toc 1"/>
    <w:basedOn w:val="Normal"/>
    <w:next w:val="Normal"/>
    <w:autoRedefine/>
    <w:uiPriority w:val="39"/>
    <w:qFormat/>
    <w:rsid w:val="00903EBA"/>
    <w:pPr>
      <w:tabs>
        <w:tab w:val="right" w:leader="dot" w:pos="9062"/>
      </w:tabs>
      <w:spacing w:after="120"/>
    </w:pPr>
    <w:rPr>
      <w:b/>
      <w:bCs/>
      <w:caps/>
      <w:szCs w:val="20"/>
    </w:rPr>
  </w:style>
  <w:style w:type="paragraph" w:styleId="TM2">
    <w:name w:val="toc 2"/>
    <w:basedOn w:val="Normal"/>
    <w:next w:val="Normal"/>
    <w:autoRedefine/>
    <w:uiPriority w:val="39"/>
    <w:qFormat/>
    <w:rsid w:val="00903EBA"/>
    <w:pPr>
      <w:ind w:left="240"/>
    </w:pPr>
    <w:rPr>
      <w:smallCaps/>
      <w:szCs w:val="20"/>
    </w:rPr>
  </w:style>
  <w:style w:type="paragraph" w:styleId="TM3">
    <w:name w:val="toc 3"/>
    <w:basedOn w:val="Normal"/>
    <w:next w:val="Normal"/>
    <w:autoRedefine/>
    <w:uiPriority w:val="39"/>
    <w:qFormat/>
    <w:rsid w:val="00903EBA"/>
    <w:pPr>
      <w:tabs>
        <w:tab w:val="left" w:pos="1560"/>
        <w:tab w:val="right" w:leader="dot" w:pos="9072"/>
      </w:tabs>
      <w:ind w:left="993"/>
    </w:pPr>
    <w:rPr>
      <w:iCs/>
      <w:szCs w:val="20"/>
    </w:rPr>
  </w:style>
  <w:style w:type="paragraph" w:styleId="TM4">
    <w:name w:val="toc 4"/>
    <w:basedOn w:val="Normal"/>
    <w:next w:val="Normal"/>
    <w:autoRedefine/>
    <w:uiPriority w:val="39"/>
    <w:rsid w:val="00903EBA"/>
    <w:pPr>
      <w:ind w:left="720"/>
    </w:pPr>
    <w:rPr>
      <w:sz w:val="18"/>
      <w:szCs w:val="18"/>
    </w:rPr>
  </w:style>
  <w:style w:type="character" w:styleId="Lienhypertexte">
    <w:name w:val="Hyperlink"/>
    <w:uiPriority w:val="99"/>
    <w:rsid w:val="00903EBA"/>
    <w:rPr>
      <w:color w:val="0000FF"/>
      <w:u w:val="single"/>
    </w:rPr>
  </w:style>
  <w:style w:type="paragraph" w:styleId="Tabledesillustrations">
    <w:name w:val="table of figures"/>
    <w:basedOn w:val="Normal"/>
    <w:next w:val="Normal"/>
    <w:link w:val="TabledesillustrationsCar"/>
    <w:autoRedefine/>
    <w:uiPriority w:val="99"/>
    <w:rsid w:val="00903EBA"/>
    <w:rPr>
      <w:rFonts w:ascii="Arial" w:hAnsi="Arial"/>
    </w:rPr>
  </w:style>
  <w:style w:type="character" w:customStyle="1" w:styleId="TabledesillustrationsCar">
    <w:name w:val="Table des illustrations Car"/>
    <w:link w:val="Tabledesillustrations"/>
    <w:uiPriority w:val="99"/>
    <w:rsid w:val="00903EBA"/>
    <w:rPr>
      <w:rFonts w:ascii="Arial" w:eastAsiaTheme="minorHAnsi" w:hAnsi="Arial" w:cstheme="minorBidi"/>
      <w:kern w:val="2"/>
      <w:sz w:val="22"/>
      <w:szCs w:val="22"/>
      <w:lang w:eastAsia="en-US"/>
      <w14:ligatures w14:val="standardContextual"/>
    </w:rPr>
  </w:style>
  <w:style w:type="paragraph" w:styleId="TM8">
    <w:name w:val="toc 8"/>
    <w:basedOn w:val="Normal"/>
    <w:next w:val="Normal"/>
    <w:autoRedefine/>
    <w:uiPriority w:val="39"/>
    <w:rsid w:val="00903EBA"/>
    <w:pPr>
      <w:ind w:left="1680"/>
    </w:pPr>
    <w:rPr>
      <w:sz w:val="18"/>
      <w:szCs w:val="18"/>
    </w:rPr>
  </w:style>
  <w:style w:type="paragraph" w:styleId="TM9">
    <w:name w:val="toc 9"/>
    <w:basedOn w:val="Normal"/>
    <w:next w:val="Normal"/>
    <w:autoRedefine/>
    <w:uiPriority w:val="39"/>
    <w:rsid w:val="00903EBA"/>
    <w:pPr>
      <w:ind w:left="1920"/>
    </w:pPr>
    <w:rPr>
      <w:sz w:val="18"/>
      <w:szCs w:val="18"/>
    </w:rPr>
  </w:style>
  <w:style w:type="table" w:styleId="Grilledutableau">
    <w:name w:val="Table Grid"/>
    <w:basedOn w:val="TableauNormal"/>
    <w:uiPriority w:val="59"/>
    <w:rsid w:val="0090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rsid w:val="00903EBA"/>
    <w:rPr>
      <w:sz w:val="16"/>
      <w:szCs w:val="16"/>
    </w:rPr>
  </w:style>
  <w:style w:type="paragraph" w:styleId="Sous-titre">
    <w:name w:val="Subtitle"/>
    <w:basedOn w:val="Normal"/>
    <w:rsid w:val="00903EBA"/>
    <w:pPr>
      <w:tabs>
        <w:tab w:val="right" w:pos="540"/>
        <w:tab w:val="left" w:pos="720"/>
      </w:tabs>
      <w:autoSpaceDE w:val="0"/>
      <w:autoSpaceDN w:val="0"/>
      <w:adjustRightInd w:val="0"/>
      <w:spacing w:after="240"/>
      <w:ind w:left="720" w:hanging="720"/>
    </w:pPr>
    <w:rPr>
      <w:rFonts w:ascii="Arial" w:hAnsi="Arial" w:cs="Arial"/>
      <w:b/>
      <w:bCs/>
      <w:sz w:val="21"/>
      <w:szCs w:val="20"/>
      <w:lang w:val="en-US"/>
    </w:rPr>
  </w:style>
  <w:style w:type="character" w:styleId="Lienhypertextesuivivisit">
    <w:name w:val="FollowedHyperlink"/>
    <w:rsid w:val="00903EBA"/>
    <w:rPr>
      <w:color w:val="800080"/>
      <w:sz w:val="24"/>
      <w:u w:val="single"/>
      <w:lang w:val="en-US" w:eastAsia="en-US" w:bidi="ar-SA"/>
    </w:rPr>
  </w:style>
  <w:style w:type="paragraph" w:styleId="Rvision">
    <w:name w:val="Revision"/>
    <w:basedOn w:val="Normal"/>
    <w:hidden/>
    <w:uiPriority w:val="99"/>
    <w:semiHidden/>
    <w:rsid w:val="00903EBA"/>
    <w:pPr>
      <w:spacing w:line="240" w:lineRule="auto"/>
    </w:pPr>
    <w:rPr>
      <w:rFonts w:ascii="Times New Roman" w:hAnsi="Times New Roman" w:cs="Times New Roman"/>
      <w:sz w:val="24"/>
    </w:rPr>
  </w:style>
  <w:style w:type="paragraph" w:styleId="Notedebasdepage">
    <w:name w:val="footnote text"/>
    <w:basedOn w:val="Normal"/>
    <w:link w:val="NotedebasdepageCar"/>
    <w:autoRedefine/>
    <w:qFormat/>
    <w:rsid w:val="00903EBA"/>
    <w:pPr>
      <w:tabs>
        <w:tab w:val="left" w:pos="284"/>
      </w:tabs>
      <w:ind w:left="284" w:hanging="284"/>
    </w:pPr>
    <w:rPr>
      <w:rFonts w:cs="Times New Roman"/>
      <w:sz w:val="18"/>
      <w:szCs w:val="16"/>
    </w:rPr>
  </w:style>
  <w:style w:type="character" w:customStyle="1" w:styleId="NotedebasdepageCar">
    <w:name w:val="Note de bas de page Car"/>
    <w:link w:val="Notedebasdepage"/>
    <w:rsid w:val="00903EBA"/>
    <w:rPr>
      <w:rFonts w:asciiTheme="minorHAnsi" w:eastAsiaTheme="minorHAnsi" w:hAnsiTheme="minorHAnsi"/>
      <w:kern w:val="2"/>
      <w:sz w:val="18"/>
      <w:szCs w:val="16"/>
      <w:lang w:eastAsia="en-US"/>
      <w14:ligatures w14:val="standardContextual"/>
    </w:rPr>
  </w:style>
  <w:style w:type="character" w:styleId="Appelnotedebasdep">
    <w:name w:val="footnote reference"/>
    <w:semiHidden/>
    <w:rsid w:val="00903EBA"/>
    <w:rPr>
      <w:vertAlign w:val="superscript"/>
    </w:rPr>
  </w:style>
  <w:style w:type="paragraph" w:styleId="Corpsdetexte2">
    <w:name w:val="Body Text 2"/>
    <w:basedOn w:val="Normal"/>
    <w:rsid w:val="00903EBA"/>
    <w:pPr>
      <w:spacing w:after="120" w:line="480" w:lineRule="auto"/>
    </w:pPr>
  </w:style>
  <w:style w:type="paragraph" w:styleId="Corpsdetexte">
    <w:name w:val="Body Text"/>
    <w:basedOn w:val="Normal"/>
    <w:link w:val="CorpsdetexteCar"/>
    <w:rsid w:val="00903EBA"/>
    <w:rPr>
      <w:rFonts w:ascii="Tahoma" w:hAnsi="Tahoma"/>
    </w:rPr>
  </w:style>
  <w:style w:type="character" w:customStyle="1" w:styleId="CorpsdetexteCar">
    <w:name w:val="Corps de texte Car"/>
    <w:link w:val="Corpsdetexte"/>
    <w:rsid w:val="00903EBA"/>
    <w:rPr>
      <w:rFonts w:ascii="Tahoma" w:eastAsiaTheme="minorHAnsi" w:hAnsi="Tahoma" w:cstheme="minorBidi"/>
      <w:kern w:val="2"/>
      <w:sz w:val="22"/>
      <w:szCs w:val="22"/>
      <w:lang w:eastAsia="en-US"/>
      <w14:ligatures w14:val="standardContextual"/>
    </w:rPr>
  </w:style>
  <w:style w:type="paragraph" w:styleId="Corpsdetexte3">
    <w:name w:val="Body Text 3"/>
    <w:basedOn w:val="Normal"/>
    <w:rsid w:val="00903EBA"/>
    <w:pPr>
      <w:autoSpaceDE w:val="0"/>
      <w:autoSpaceDN w:val="0"/>
      <w:adjustRightInd w:val="0"/>
    </w:pPr>
    <w:rPr>
      <w:rFonts w:ascii="Comic Sans MS" w:hAnsi="Comic Sans MS"/>
      <w:color w:val="2C2A2A"/>
    </w:rPr>
  </w:style>
  <w:style w:type="paragraph" w:styleId="NormalWeb">
    <w:name w:val="Normal (Web)"/>
    <w:basedOn w:val="Normal"/>
    <w:uiPriority w:val="99"/>
    <w:rsid w:val="00903EBA"/>
    <w:rPr>
      <w:rFonts w:ascii="Arial" w:hAnsi="Arial" w:cs="Arial"/>
    </w:rPr>
  </w:style>
  <w:style w:type="paragraph" w:styleId="Commentaire">
    <w:name w:val="annotation text"/>
    <w:basedOn w:val="Normal"/>
    <w:link w:val="CommentaireCar"/>
    <w:uiPriority w:val="99"/>
    <w:rsid w:val="00903EBA"/>
    <w:rPr>
      <w:szCs w:val="20"/>
    </w:rPr>
  </w:style>
  <w:style w:type="character" w:customStyle="1" w:styleId="CommentaireCar">
    <w:name w:val="Commentaire Car"/>
    <w:link w:val="Commentaire"/>
    <w:uiPriority w:val="99"/>
    <w:rsid w:val="00903EBA"/>
    <w:rPr>
      <w:rFonts w:asciiTheme="minorHAnsi" w:eastAsiaTheme="minorHAnsi" w:hAnsiTheme="minorHAnsi" w:cstheme="minorBidi"/>
      <w:kern w:val="2"/>
      <w:sz w:val="22"/>
      <w:lang w:eastAsia="en-US"/>
      <w14:ligatures w14:val="standardContextual"/>
    </w:rPr>
  </w:style>
  <w:style w:type="paragraph" w:styleId="Objetducommentaire">
    <w:name w:val="annotation subject"/>
    <w:basedOn w:val="Commentaire"/>
    <w:next w:val="Commentaire"/>
    <w:semiHidden/>
    <w:rsid w:val="00903EBA"/>
    <w:rPr>
      <w:b/>
      <w:bCs/>
    </w:rPr>
  </w:style>
  <w:style w:type="paragraph" w:styleId="Sansinterligne">
    <w:name w:val="No Spacing"/>
    <w:basedOn w:val="Normal"/>
    <w:link w:val="SansinterligneCar"/>
    <w:rsid w:val="00903EBA"/>
    <w:pPr>
      <w:spacing w:line="240" w:lineRule="auto"/>
    </w:pPr>
    <w:rPr>
      <w:rFonts w:ascii="Calibri" w:hAnsi="Calibri" w:cs="Times New Roman"/>
    </w:rPr>
  </w:style>
  <w:style w:type="character" w:customStyle="1" w:styleId="SansinterligneCar">
    <w:name w:val="Sans interligne Car"/>
    <w:link w:val="Sansinterligne"/>
    <w:rsid w:val="00903EBA"/>
    <w:rPr>
      <w:rFonts w:ascii="Calibri" w:eastAsiaTheme="minorHAnsi" w:hAnsi="Calibri"/>
      <w:kern w:val="2"/>
      <w:sz w:val="22"/>
      <w:szCs w:val="22"/>
      <w:lang w:eastAsia="en-US"/>
      <w14:ligatures w14:val="standardContextual"/>
    </w:rPr>
  </w:style>
  <w:style w:type="paragraph" w:styleId="Explorateurdedocuments">
    <w:name w:val="Document Map"/>
    <w:basedOn w:val="Normal"/>
    <w:semiHidden/>
    <w:rsid w:val="00903EBA"/>
    <w:pPr>
      <w:shd w:val="clear" w:color="auto" w:fill="000080"/>
    </w:pPr>
    <w:rPr>
      <w:rFonts w:ascii="Tahoma" w:hAnsi="Tahoma"/>
      <w:szCs w:val="20"/>
    </w:rPr>
  </w:style>
  <w:style w:type="character" w:customStyle="1" w:styleId="nlmon-behalf-of">
    <w:name w:val="nlm_on-behalf-of"/>
    <w:basedOn w:val="Policepardfaut"/>
    <w:rsid w:val="00903EBA"/>
    <w:rPr>
      <w:rFonts w:ascii="Marianne Light" w:hAnsi="Marianne Light"/>
      <w:b w:val="0"/>
      <w:i w:val="0"/>
      <w:sz w:val="20"/>
    </w:rPr>
  </w:style>
  <w:style w:type="character" w:customStyle="1" w:styleId="citation">
    <w:name w:val="citation"/>
    <w:basedOn w:val="Policepardfaut"/>
    <w:rsid w:val="00903EBA"/>
    <w:rPr>
      <w:rFonts w:ascii="Marianne Light" w:hAnsi="Marianne Light"/>
      <w:b w:val="0"/>
      <w:i w:val="0"/>
      <w:sz w:val="20"/>
    </w:rPr>
  </w:style>
  <w:style w:type="paragraph" w:styleId="Notedefin">
    <w:name w:val="endnote text"/>
    <w:basedOn w:val="Normal"/>
    <w:link w:val="NotedefinCar"/>
    <w:rsid w:val="00903EBA"/>
    <w:rPr>
      <w:szCs w:val="20"/>
    </w:rPr>
  </w:style>
  <w:style w:type="character" w:customStyle="1" w:styleId="NotedefinCar">
    <w:name w:val="Note de fin Car"/>
    <w:link w:val="Notedefin"/>
    <w:rsid w:val="00903EBA"/>
    <w:rPr>
      <w:rFonts w:asciiTheme="minorHAnsi" w:eastAsiaTheme="minorHAnsi" w:hAnsiTheme="minorHAnsi" w:cstheme="minorBidi"/>
      <w:kern w:val="2"/>
      <w:sz w:val="22"/>
      <w:lang w:eastAsia="en-US"/>
      <w14:ligatures w14:val="standardContextual"/>
    </w:rPr>
  </w:style>
  <w:style w:type="character" w:styleId="Appeldenotedefin">
    <w:name w:val="endnote reference"/>
    <w:rsid w:val="00903EBA"/>
    <w:rPr>
      <w:vertAlign w:val="superscript"/>
    </w:rPr>
  </w:style>
  <w:style w:type="character" w:customStyle="1" w:styleId="fulltext-it">
    <w:name w:val="fulltext-it"/>
    <w:basedOn w:val="Policepardfaut"/>
    <w:rsid w:val="00903EBA"/>
    <w:rPr>
      <w:rFonts w:ascii="Marianne Light" w:hAnsi="Marianne Light"/>
      <w:b w:val="0"/>
      <w:i w:val="0"/>
      <w:sz w:val="20"/>
    </w:rPr>
  </w:style>
  <w:style w:type="paragraph" w:styleId="Normalcentr">
    <w:name w:val="Block Text"/>
    <w:basedOn w:val="Normal"/>
    <w:rsid w:val="00903EBA"/>
    <w:pPr>
      <w:ind w:left="360" w:right="26"/>
    </w:pPr>
    <w:rPr>
      <w:rFonts w:ascii="Tahoma" w:hAnsi="Tahoma"/>
      <w:szCs w:val="20"/>
      <w:lang w:eastAsia="en-GB"/>
    </w:rPr>
  </w:style>
  <w:style w:type="character" w:customStyle="1" w:styleId="FootnoteCharacters">
    <w:name w:val="Footnote Characters"/>
    <w:rsid w:val="00903EBA"/>
    <w:rPr>
      <w:sz w:val="24"/>
      <w:u w:val="single"/>
      <w:vertAlign w:val="superscript"/>
      <w:lang w:val="en-US" w:eastAsia="en-US" w:bidi="ar-SA"/>
    </w:rPr>
  </w:style>
  <w:style w:type="paragraph" w:customStyle="1" w:styleId="NormalTahoma">
    <w:name w:val="Normal + Tahoma"/>
    <w:aliases w:val="11 pt"/>
    <w:basedOn w:val="Normal"/>
    <w:rsid w:val="00903EBA"/>
  </w:style>
  <w:style w:type="paragraph" w:customStyle="1" w:styleId="Figuren">
    <w:name w:val="Figure n°"/>
    <w:basedOn w:val="Normal"/>
    <w:rsid w:val="00903EBA"/>
    <w:pPr>
      <w:tabs>
        <w:tab w:val="num" w:pos="180"/>
      </w:tabs>
      <w:ind w:left="180" w:firstLine="288"/>
    </w:pPr>
  </w:style>
  <w:style w:type="paragraph" w:customStyle="1" w:styleId="Paragraphedeliste1">
    <w:name w:val="Paragraphe de liste1"/>
    <w:basedOn w:val="Normal"/>
    <w:rsid w:val="00903EBA"/>
    <w:pPr>
      <w:overflowPunct w:val="0"/>
      <w:autoSpaceDE w:val="0"/>
      <w:autoSpaceDN w:val="0"/>
      <w:adjustRightInd w:val="0"/>
      <w:ind w:left="720"/>
      <w:textAlignment w:val="baseline"/>
    </w:pPr>
    <w:rPr>
      <w:szCs w:val="20"/>
      <w:lang w:val="en-US"/>
    </w:rPr>
  </w:style>
  <w:style w:type="paragraph" w:customStyle="1" w:styleId="Notes">
    <w:name w:val="Notes"/>
    <w:basedOn w:val="Notedebasdepage"/>
    <w:link w:val="NotesCar"/>
    <w:rsid w:val="00903EBA"/>
    <w:pPr>
      <w:spacing w:line="288" w:lineRule="auto"/>
      <w:contextualSpacing/>
    </w:pPr>
  </w:style>
  <w:style w:type="character" w:customStyle="1" w:styleId="NotesCar">
    <w:name w:val="Notes Car"/>
    <w:link w:val="Notes"/>
    <w:rsid w:val="00903EBA"/>
    <w:rPr>
      <w:rFonts w:asciiTheme="minorHAnsi" w:eastAsiaTheme="minorHAnsi" w:hAnsiTheme="minorHAnsi"/>
      <w:kern w:val="2"/>
      <w:sz w:val="18"/>
      <w:szCs w:val="16"/>
      <w:lang w:eastAsia="en-US"/>
      <w14:ligatures w14:val="standardContextual"/>
    </w:rPr>
  </w:style>
  <w:style w:type="character" w:styleId="CitationHTML">
    <w:name w:val="HTML Cite"/>
    <w:rsid w:val="00903EBA"/>
    <w:rPr>
      <w:i/>
      <w:iCs/>
    </w:rPr>
  </w:style>
  <w:style w:type="paragraph" w:customStyle="1" w:styleId="Donnesessentielles">
    <w:name w:val="Données essentielles"/>
    <w:basedOn w:val="Normal"/>
    <w:link w:val="DonnesessentiellesCar"/>
    <w:rsid w:val="00903EBA"/>
    <w:pPr>
      <w:shd w:val="clear" w:color="auto" w:fill="FDE9D9"/>
      <w:ind w:left="360" w:hanging="360"/>
    </w:pPr>
    <w:rPr>
      <w:sz w:val="18"/>
      <w:szCs w:val="18"/>
    </w:rPr>
  </w:style>
  <w:style w:type="character" w:customStyle="1" w:styleId="DonnesessentiellesCar">
    <w:name w:val="Données essentielles Car"/>
    <w:link w:val="Donnesessentielles"/>
    <w:rsid w:val="00903EBA"/>
    <w:rPr>
      <w:rFonts w:asciiTheme="minorHAnsi" w:eastAsiaTheme="minorHAnsi" w:hAnsiTheme="minorHAnsi" w:cstheme="minorBidi"/>
      <w:kern w:val="2"/>
      <w:sz w:val="18"/>
      <w:szCs w:val="18"/>
      <w:shd w:val="clear" w:color="auto" w:fill="FDE9D9"/>
      <w:lang w:eastAsia="en-US"/>
      <w14:ligatures w14:val="standardContextual"/>
    </w:rPr>
  </w:style>
  <w:style w:type="table" w:styleId="Grilledetableau8">
    <w:name w:val="Table Grid 8"/>
    <w:basedOn w:val="TableauNormal"/>
    <w:rsid w:val="00903EBA"/>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Emphaseintense">
    <w:name w:val="Intense Emphasis"/>
    <w:uiPriority w:val="99"/>
    <w:qFormat/>
    <w:rsid w:val="00903EBA"/>
    <w:rPr>
      <w:b/>
      <w:bCs/>
      <w:i/>
      <w:iCs/>
      <w:color w:val="4F81BD"/>
    </w:rPr>
  </w:style>
  <w:style w:type="paragraph" w:styleId="Date">
    <w:name w:val="Date"/>
    <w:basedOn w:val="Normal"/>
    <w:next w:val="Normal"/>
    <w:link w:val="DateCar"/>
    <w:rsid w:val="00903EBA"/>
  </w:style>
  <w:style w:type="character" w:customStyle="1" w:styleId="DateCar">
    <w:name w:val="Date Car"/>
    <w:link w:val="Date"/>
    <w:rsid w:val="00903EBA"/>
    <w:rPr>
      <w:rFonts w:asciiTheme="minorHAnsi" w:eastAsiaTheme="minorHAnsi" w:hAnsiTheme="minorHAnsi" w:cstheme="minorBidi"/>
      <w:kern w:val="2"/>
      <w:sz w:val="22"/>
      <w:szCs w:val="22"/>
      <w:lang w:eastAsia="en-US"/>
      <w14:ligatures w14:val="standardContextual"/>
    </w:rPr>
  </w:style>
  <w:style w:type="paragraph" w:customStyle="1" w:styleId="FAITSMARQUANTS">
    <w:name w:val="FAITS MARQUANTS"/>
    <w:basedOn w:val="Normal"/>
    <w:link w:val="FAITSMARQUANTSCar"/>
    <w:qFormat/>
    <w:rsid w:val="00903EBA"/>
    <w:pPr>
      <w:pBdr>
        <w:left w:val="dotted" w:sz="48" w:space="4" w:color="660066"/>
      </w:pBdr>
      <w:shd w:val="clear" w:color="auto" w:fill="F2F2F2"/>
      <w:spacing w:before="240"/>
      <w:ind w:left="2268"/>
    </w:pPr>
  </w:style>
  <w:style w:type="character" w:customStyle="1" w:styleId="FAITSMARQUANTSCar">
    <w:name w:val="FAITS MARQUANTS Car"/>
    <w:link w:val="FAITSMARQUANTS"/>
    <w:rsid w:val="00903EBA"/>
    <w:rPr>
      <w:rFonts w:asciiTheme="minorHAnsi" w:eastAsiaTheme="minorHAnsi" w:hAnsiTheme="minorHAnsi" w:cstheme="minorBidi"/>
      <w:kern w:val="2"/>
      <w:sz w:val="22"/>
      <w:szCs w:val="22"/>
      <w:shd w:val="clear" w:color="auto" w:fill="F2F2F2"/>
      <w:lang w:eastAsia="en-US"/>
      <w14:ligatures w14:val="standardContextual"/>
    </w:rPr>
  </w:style>
  <w:style w:type="paragraph" w:customStyle="1" w:styleId="CorpsdetexteCorpsdetexte1">
    <w:name w:val="Corps de texte.Corps de texte1"/>
    <w:basedOn w:val="Normal"/>
    <w:rsid w:val="00903EBA"/>
    <w:rPr>
      <w:rFonts w:cs="Times New Roman"/>
    </w:rPr>
  </w:style>
  <w:style w:type="character" w:styleId="Textedelespacerserv">
    <w:name w:val="Placeholder Text"/>
    <w:uiPriority w:val="99"/>
    <w:semiHidden/>
    <w:rsid w:val="00903EBA"/>
    <w:rPr>
      <w:color w:val="808080"/>
    </w:rPr>
  </w:style>
  <w:style w:type="character" w:customStyle="1" w:styleId="Mentionnonrsolue1">
    <w:name w:val="Mention non résolue1"/>
    <w:uiPriority w:val="99"/>
    <w:semiHidden/>
    <w:unhideWhenUsed/>
    <w:rsid w:val="00903EBA"/>
    <w:rPr>
      <w:color w:val="605E5C"/>
      <w:shd w:val="clear" w:color="auto" w:fill="E1DFDD"/>
    </w:rPr>
  </w:style>
  <w:style w:type="character" w:customStyle="1" w:styleId="En-tteCar">
    <w:name w:val="En-tête Car"/>
    <w:aliases w:val="Page Header Car,En-tête1 Car,Bayer Header Car"/>
    <w:link w:val="En-tte"/>
    <w:rsid w:val="00903EBA"/>
    <w:rPr>
      <w:rFonts w:asciiTheme="minorHAnsi" w:eastAsiaTheme="minorHAnsi" w:hAnsiTheme="minorHAnsi" w:cstheme="minorBidi"/>
      <w:kern w:val="2"/>
      <w:sz w:val="22"/>
      <w:szCs w:val="22"/>
      <w:lang w:eastAsia="en-US"/>
      <w14:ligatures w14:val="standardContextual"/>
    </w:rPr>
  </w:style>
  <w:style w:type="character" w:customStyle="1" w:styleId="consigne">
    <w:name w:val="consigne"/>
    <w:rsid w:val="00903EBA"/>
    <w:rPr>
      <w:rFonts w:ascii="Comic Sans MS" w:hAnsi="Comic Sans MS"/>
      <w:i/>
      <w:sz w:val="22"/>
    </w:rPr>
  </w:style>
  <w:style w:type="numbering" w:customStyle="1" w:styleId="Listeactuelle1">
    <w:name w:val="Liste actuelle1"/>
    <w:uiPriority w:val="99"/>
    <w:rsid w:val="00903EBA"/>
    <w:pPr>
      <w:numPr>
        <w:numId w:val="5"/>
      </w:numPr>
    </w:pPr>
  </w:style>
  <w:style w:type="numbering" w:customStyle="1" w:styleId="Listeactuelle2">
    <w:name w:val="Liste actuelle2"/>
    <w:uiPriority w:val="99"/>
    <w:rsid w:val="00903EBA"/>
    <w:pPr>
      <w:numPr>
        <w:numId w:val="17"/>
      </w:numPr>
    </w:pPr>
  </w:style>
  <w:style w:type="numbering" w:customStyle="1" w:styleId="Listeactuelle3">
    <w:name w:val="Liste actuelle3"/>
    <w:uiPriority w:val="99"/>
    <w:rsid w:val="00903EBA"/>
    <w:pPr>
      <w:numPr>
        <w:numId w:val="18"/>
      </w:numPr>
    </w:pPr>
  </w:style>
  <w:style w:type="paragraph" w:customStyle="1" w:styleId="Titreoptions">
    <w:name w:val="Titre options"/>
    <w:basedOn w:val="Normal"/>
    <w:rsid w:val="00903EBA"/>
    <w:pPr>
      <w:numPr>
        <w:numId w:val="22"/>
      </w:numPr>
      <w:shd w:val="clear" w:color="auto" w:fill="D9D9D9"/>
      <w:spacing w:before="120" w:after="0"/>
      <w:jc w:val="both"/>
    </w:pPr>
    <w:rPr>
      <w:rFonts w:eastAsia="Times New Roman" w:cs="Tahoma"/>
      <w:b/>
      <w:color w:val="660033"/>
      <w:szCs w:val="24"/>
      <w:lang w:eastAsia="fr-FR"/>
    </w:rPr>
  </w:style>
  <w:style w:type="table" w:customStyle="1" w:styleId="Tableausimple21">
    <w:name w:val="Tableau simple 21"/>
    <w:basedOn w:val="TableauNormal"/>
    <w:uiPriority w:val="42"/>
    <w:rsid w:val="00903E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ev">
    <w:name w:val="Strong"/>
    <w:basedOn w:val="Policepardfaut"/>
    <w:uiPriority w:val="22"/>
    <w:qFormat/>
    <w:rsid w:val="00903EBA"/>
    <w:rPr>
      <w:b/>
      <w:bCs/>
    </w:rPr>
  </w:style>
  <w:style w:type="character" w:styleId="Accentuation">
    <w:name w:val="Emphasis"/>
    <w:basedOn w:val="Policepardfaut"/>
    <w:uiPriority w:val="20"/>
    <w:qFormat/>
    <w:rsid w:val="00903EBA"/>
    <w:rPr>
      <w:i/>
      <w:iCs/>
    </w:rPr>
  </w:style>
  <w:style w:type="paragraph" w:styleId="Textedebulles">
    <w:name w:val="Balloon Text"/>
    <w:basedOn w:val="Normal"/>
    <w:link w:val="TextedebullesCar"/>
    <w:rsid w:val="00903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03EBA"/>
    <w:rPr>
      <w:rFonts w:ascii="Tahoma" w:eastAsiaTheme="minorHAnsi" w:hAnsi="Tahoma" w:cs="Tahoma"/>
      <w:kern w:val="2"/>
      <w:sz w:val="16"/>
      <w:szCs w:val="16"/>
      <w:lang w:eastAsia="en-US"/>
      <w14:ligatures w14:val="standardContextual"/>
    </w:rPr>
  </w:style>
  <w:style w:type="character" w:customStyle="1" w:styleId="Puceniv01CarCar">
    <w:name w:val="Puce niv 01 Car Car"/>
    <w:link w:val="Puceniv01"/>
    <w:qFormat/>
    <w:rsid w:val="00903EBA"/>
  </w:style>
  <w:style w:type="paragraph" w:customStyle="1" w:styleId="Puceniv01">
    <w:name w:val="Puce niv 01"/>
    <w:basedOn w:val="Paragraphedeliste"/>
    <w:link w:val="Puceniv01CarCar"/>
    <w:autoRedefine/>
    <w:qFormat/>
    <w:rsid w:val="00903EBA"/>
    <w:pPr>
      <w:suppressAutoHyphens/>
      <w:spacing w:before="0"/>
      <w:ind w:left="0"/>
      <w:contextualSpacing/>
      <w:jc w:val="both"/>
    </w:pPr>
    <w:rPr>
      <w:rFonts w:ascii="Times New Roman" w:eastAsia="Times New Roman" w:hAnsi="Times New Roman" w:cs="Times New Roman"/>
      <w:kern w:val="0"/>
      <w:sz w:val="20"/>
      <w:szCs w:val="20"/>
      <w:lang w:eastAsia="fr-FR"/>
      <w14:ligatures w14:val="none"/>
    </w:rPr>
  </w:style>
  <w:style w:type="paragraph" w:styleId="En-ttedetabledesmatires">
    <w:name w:val="TOC Heading"/>
    <w:basedOn w:val="Titre1"/>
    <w:next w:val="Normal"/>
    <w:uiPriority w:val="39"/>
    <w:qFormat/>
    <w:rsid w:val="00903EBA"/>
    <w:pPr>
      <w:keepNext/>
      <w:keepLines/>
      <w:numPr>
        <w:numId w:val="0"/>
      </w:numPr>
      <w:spacing w:before="480" w:after="0"/>
      <w:outlineLvl w:val="9"/>
    </w:pPr>
    <w:rPr>
      <w:rFonts w:asciiTheme="majorHAnsi" w:eastAsiaTheme="majorEastAsia" w:hAnsiTheme="majorHAnsi" w:cstheme="majorBidi"/>
      <w:caps w:val="0"/>
      <w:color w:val="365F91" w:themeColor="accent1" w:themeShade="BF"/>
      <w:spacing w:val="0"/>
      <w:sz w:val="28"/>
      <w:szCs w:val="28"/>
    </w:rPr>
  </w:style>
  <w:style w:type="paragraph" w:styleId="Titre">
    <w:name w:val="Title"/>
    <w:basedOn w:val="Normal"/>
    <w:next w:val="Normal"/>
    <w:link w:val="TitreCar"/>
    <w:uiPriority w:val="10"/>
    <w:qFormat/>
    <w:rsid w:val="008D6583"/>
    <w:pPr>
      <w:pBdr>
        <w:bottom w:val="single" w:sz="8" w:space="4" w:color="4F81BD" w:themeColor="accent1"/>
      </w:pBdr>
      <w:spacing w:after="300" w:line="240" w:lineRule="auto"/>
      <w:contextualSpacing/>
    </w:pPr>
    <w:rPr>
      <w:rFonts w:eastAsiaTheme="majorEastAsia" w:cstheme="majorBidi"/>
      <w:b/>
      <w:color w:val="0070C0"/>
      <w:spacing w:val="5"/>
      <w:kern w:val="28"/>
      <w:sz w:val="24"/>
      <w:szCs w:val="52"/>
    </w:rPr>
  </w:style>
  <w:style w:type="character" w:customStyle="1" w:styleId="TitreCar">
    <w:name w:val="Titre Car"/>
    <w:basedOn w:val="Policepardfaut"/>
    <w:link w:val="Titre"/>
    <w:uiPriority w:val="10"/>
    <w:rsid w:val="008D6583"/>
    <w:rPr>
      <w:rFonts w:asciiTheme="minorHAnsi" w:eastAsiaTheme="majorEastAsia" w:hAnsiTheme="minorHAnsi" w:cstheme="majorBidi"/>
      <w:b/>
      <w:color w:val="0070C0"/>
      <w:spacing w:val="5"/>
      <w:kern w:val="28"/>
      <w:sz w:val="24"/>
      <w:szCs w:val="5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487">
      <w:bodyDiv w:val="1"/>
      <w:marLeft w:val="0"/>
      <w:marRight w:val="0"/>
      <w:marTop w:val="0"/>
      <w:marBottom w:val="0"/>
      <w:divBdr>
        <w:top w:val="none" w:sz="0" w:space="0" w:color="auto"/>
        <w:left w:val="none" w:sz="0" w:space="0" w:color="auto"/>
        <w:bottom w:val="none" w:sz="0" w:space="0" w:color="auto"/>
        <w:right w:val="none" w:sz="0" w:space="0" w:color="auto"/>
      </w:divBdr>
    </w:div>
    <w:div w:id="94905417">
      <w:bodyDiv w:val="1"/>
      <w:marLeft w:val="0"/>
      <w:marRight w:val="0"/>
      <w:marTop w:val="0"/>
      <w:marBottom w:val="0"/>
      <w:divBdr>
        <w:top w:val="none" w:sz="0" w:space="0" w:color="auto"/>
        <w:left w:val="none" w:sz="0" w:space="0" w:color="auto"/>
        <w:bottom w:val="none" w:sz="0" w:space="0" w:color="auto"/>
        <w:right w:val="none" w:sz="0" w:space="0" w:color="auto"/>
      </w:divBdr>
    </w:div>
    <w:div w:id="145901297">
      <w:bodyDiv w:val="1"/>
      <w:marLeft w:val="0"/>
      <w:marRight w:val="0"/>
      <w:marTop w:val="0"/>
      <w:marBottom w:val="0"/>
      <w:divBdr>
        <w:top w:val="none" w:sz="0" w:space="0" w:color="auto"/>
        <w:left w:val="none" w:sz="0" w:space="0" w:color="auto"/>
        <w:bottom w:val="none" w:sz="0" w:space="0" w:color="auto"/>
        <w:right w:val="none" w:sz="0" w:space="0" w:color="auto"/>
      </w:divBdr>
    </w:div>
    <w:div w:id="202442883">
      <w:bodyDiv w:val="1"/>
      <w:marLeft w:val="0"/>
      <w:marRight w:val="0"/>
      <w:marTop w:val="0"/>
      <w:marBottom w:val="0"/>
      <w:divBdr>
        <w:top w:val="none" w:sz="0" w:space="0" w:color="auto"/>
        <w:left w:val="none" w:sz="0" w:space="0" w:color="auto"/>
        <w:bottom w:val="none" w:sz="0" w:space="0" w:color="auto"/>
        <w:right w:val="none" w:sz="0" w:space="0" w:color="auto"/>
      </w:divBdr>
    </w:div>
    <w:div w:id="219218700">
      <w:bodyDiv w:val="1"/>
      <w:marLeft w:val="0"/>
      <w:marRight w:val="0"/>
      <w:marTop w:val="0"/>
      <w:marBottom w:val="0"/>
      <w:divBdr>
        <w:top w:val="none" w:sz="0" w:space="0" w:color="auto"/>
        <w:left w:val="none" w:sz="0" w:space="0" w:color="auto"/>
        <w:bottom w:val="none" w:sz="0" w:space="0" w:color="auto"/>
        <w:right w:val="none" w:sz="0" w:space="0" w:color="auto"/>
      </w:divBdr>
    </w:div>
    <w:div w:id="231280882">
      <w:bodyDiv w:val="1"/>
      <w:marLeft w:val="0"/>
      <w:marRight w:val="0"/>
      <w:marTop w:val="0"/>
      <w:marBottom w:val="0"/>
      <w:divBdr>
        <w:top w:val="none" w:sz="0" w:space="0" w:color="auto"/>
        <w:left w:val="none" w:sz="0" w:space="0" w:color="auto"/>
        <w:bottom w:val="none" w:sz="0" w:space="0" w:color="auto"/>
        <w:right w:val="none" w:sz="0" w:space="0" w:color="auto"/>
      </w:divBdr>
    </w:div>
    <w:div w:id="239608430">
      <w:bodyDiv w:val="1"/>
      <w:marLeft w:val="0"/>
      <w:marRight w:val="0"/>
      <w:marTop w:val="0"/>
      <w:marBottom w:val="0"/>
      <w:divBdr>
        <w:top w:val="none" w:sz="0" w:space="0" w:color="auto"/>
        <w:left w:val="none" w:sz="0" w:space="0" w:color="auto"/>
        <w:bottom w:val="none" w:sz="0" w:space="0" w:color="auto"/>
        <w:right w:val="none" w:sz="0" w:space="0" w:color="auto"/>
      </w:divBdr>
    </w:div>
    <w:div w:id="241985021">
      <w:bodyDiv w:val="1"/>
      <w:marLeft w:val="0"/>
      <w:marRight w:val="0"/>
      <w:marTop w:val="0"/>
      <w:marBottom w:val="0"/>
      <w:divBdr>
        <w:top w:val="none" w:sz="0" w:space="0" w:color="auto"/>
        <w:left w:val="none" w:sz="0" w:space="0" w:color="auto"/>
        <w:bottom w:val="none" w:sz="0" w:space="0" w:color="auto"/>
        <w:right w:val="none" w:sz="0" w:space="0" w:color="auto"/>
      </w:divBdr>
      <w:divsChild>
        <w:div w:id="398987252">
          <w:marLeft w:val="0"/>
          <w:marRight w:val="0"/>
          <w:marTop w:val="0"/>
          <w:marBottom w:val="0"/>
          <w:divBdr>
            <w:top w:val="none" w:sz="0" w:space="0" w:color="auto"/>
            <w:left w:val="none" w:sz="0" w:space="0" w:color="auto"/>
            <w:bottom w:val="none" w:sz="0" w:space="0" w:color="auto"/>
            <w:right w:val="none" w:sz="0" w:space="0" w:color="auto"/>
          </w:divBdr>
        </w:div>
      </w:divsChild>
    </w:div>
    <w:div w:id="251741279">
      <w:bodyDiv w:val="1"/>
      <w:marLeft w:val="0"/>
      <w:marRight w:val="0"/>
      <w:marTop w:val="0"/>
      <w:marBottom w:val="0"/>
      <w:divBdr>
        <w:top w:val="none" w:sz="0" w:space="0" w:color="auto"/>
        <w:left w:val="none" w:sz="0" w:space="0" w:color="auto"/>
        <w:bottom w:val="none" w:sz="0" w:space="0" w:color="auto"/>
        <w:right w:val="none" w:sz="0" w:space="0" w:color="auto"/>
      </w:divBdr>
    </w:div>
    <w:div w:id="252517869">
      <w:bodyDiv w:val="1"/>
      <w:marLeft w:val="0"/>
      <w:marRight w:val="0"/>
      <w:marTop w:val="0"/>
      <w:marBottom w:val="0"/>
      <w:divBdr>
        <w:top w:val="none" w:sz="0" w:space="0" w:color="auto"/>
        <w:left w:val="none" w:sz="0" w:space="0" w:color="auto"/>
        <w:bottom w:val="none" w:sz="0" w:space="0" w:color="auto"/>
        <w:right w:val="none" w:sz="0" w:space="0" w:color="auto"/>
      </w:divBdr>
    </w:div>
    <w:div w:id="283192714">
      <w:bodyDiv w:val="1"/>
      <w:marLeft w:val="0"/>
      <w:marRight w:val="0"/>
      <w:marTop w:val="0"/>
      <w:marBottom w:val="0"/>
      <w:divBdr>
        <w:top w:val="none" w:sz="0" w:space="0" w:color="auto"/>
        <w:left w:val="none" w:sz="0" w:space="0" w:color="auto"/>
        <w:bottom w:val="none" w:sz="0" w:space="0" w:color="auto"/>
        <w:right w:val="none" w:sz="0" w:space="0" w:color="auto"/>
      </w:divBdr>
    </w:div>
    <w:div w:id="290988285">
      <w:bodyDiv w:val="1"/>
      <w:marLeft w:val="0"/>
      <w:marRight w:val="0"/>
      <w:marTop w:val="0"/>
      <w:marBottom w:val="0"/>
      <w:divBdr>
        <w:top w:val="none" w:sz="0" w:space="0" w:color="auto"/>
        <w:left w:val="none" w:sz="0" w:space="0" w:color="auto"/>
        <w:bottom w:val="none" w:sz="0" w:space="0" w:color="auto"/>
        <w:right w:val="none" w:sz="0" w:space="0" w:color="auto"/>
      </w:divBdr>
    </w:div>
    <w:div w:id="312180356">
      <w:bodyDiv w:val="1"/>
      <w:marLeft w:val="0"/>
      <w:marRight w:val="0"/>
      <w:marTop w:val="0"/>
      <w:marBottom w:val="0"/>
      <w:divBdr>
        <w:top w:val="none" w:sz="0" w:space="0" w:color="auto"/>
        <w:left w:val="none" w:sz="0" w:space="0" w:color="auto"/>
        <w:bottom w:val="none" w:sz="0" w:space="0" w:color="auto"/>
        <w:right w:val="none" w:sz="0" w:space="0" w:color="auto"/>
      </w:divBdr>
    </w:div>
    <w:div w:id="354383421">
      <w:bodyDiv w:val="1"/>
      <w:marLeft w:val="0"/>
      <w:marRight w:val="0"/>
      <w:marTop w:val="0"/>
      <w:marBottom w:val="0"/>
      <w:divBdr>
        <w:top w:val="none" w:sz="0" w:space="0" w:color="auto"/>
        <w:left w:val="none" w:sz="0" w:space="0" w:color="auto"/>
        <w:bottom w:val="none" w:sz="0" w:space="0" w:color="auto"/>
        <w:right w:val="none" w:sz="0" w:space="0" w:color="auto"/>
      </w:divBdr>
    </w:div>
    <w:div w:id="362024804">
      <w:bodyDiv w:val="1"/>
      <w:marLeft w:val="0"/>
      <w:marRight w:val="0"/>
      <w:marTop w:val="0"/>
      <w:marBottom w:val="0"/>
      <w:divBdr>
        <w:top w:val="none" w:sz="0" w:space="0" w:color="auto"/>
        <w:left w:val="none" w:sz="0" w:space="0" w:color="auto"/>
        <w:bottom w:val="none" w:sz="0" w:space="0" w:color="auto"/>
        <w:right w:val="none" w:sz="0" w:space="0" w:color="auto"/>
      </w:divBdr>
      <w:divsChild>
        <w:div w:id="902567798">
          <w:marLeft w:val="0"/>
          <w:marRight w:val="0"/>
          <w:marTop w:val="0"/>
          <w:marBottom w:val="0"/>
          <w:divBdr>
            <w:top w:val="none" w:sz="0" w:space="0" w:color="auto"/>
            <w:left w:val="none" w:sz="0" w:space="0" w:color="auto"/>
            <w:bottom w:val="none" w:sz="0" w:space="0" w:color="auto"/>
            <w:right w:val="none" w:sz="0" w:space="0" w:color="auto"/>
          </w:divBdr>
          <w:divsChild>
            <w:div w:id="149760085">
              <w:marLeft w:val="0"/>
              <w:marRight w:val="0"/>
              <w:marTop w:val="0"/>
              <w:marBottom w:val="0"/>
              <w:divBdr>
                <w:top w:val="none" w:sz="0" w:space="0" w:color="auto"/>
                <w:left w:val="none" w:sz="0" w:space="0" w:color="auto"/>
                <w:bottom w:val="none" w:sz="0" w:space="0" w:color="auto"/>
                <w:right w:val="none" w:sz="0" w:space="0" w:color="auto"/>
              </w:divBdr>
            </w:div>
            <w:div w:id="1459757520">
              <w:marLeft w:val="0"/>
              <w:marRight w:val="0"/>
              <w:marTop w:val="0"/>
              <w:marBottom w:val="0"/>
              <w:divBdr>
                <w:top w:val="none" w:sz="0" w:space="0" w:color="auto"/>
                <w:left w:val="none" w:sz="0" w:space="0" w:color="auto"/>
                <w:bottom w:val="none" w:sz="0" w:space="0" w:color="auto"/>
                <w:right w:val="none" w:sz="0" w:space="0" w:color="auto"/>
              </w:divBdr>
            </w:div>
            <w:div w:id="1999770989">
              <w:marLeft w:val="0"/>
              <w:marRight w:val="0"/>
              <w:marTop w:val="0"/>
              <w:marBottom w:val="0"/>
              <w:divBdr>
                <w:top w:val="none" w:sz="0" w:space="0" w:color="auto"/>
                <w:left w:val="none" w:sz="0" w:space="0" w:color="auto"/>
                <w:bottom w:val="none" w:sz="0" w:space="0" w:color="auto"/>
                <w:right w:val="none" w:sz="0" w:space="0" w:color="auto"/>
              </w:divBdr>
            </w:div>
            <w:div w:id="2098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539">
      <w:bodyDiv w:val="1"/>
      <w:marLeft w:val="0"/>
      <w:marRight w:val="0"/>
      <w:marTop w:val="0"/>
      <w:marBottom w:val="0"/>
      <w:divBdr>
        <w:top w:val="none" w:sz="0" w:space="0" w:color="auto"/>
        <w:left w:val="none" w:sz="0" w:space="0" w:color="auto"/>
        <w:bottom w:val="none" w:sz="0" w:space="0" w:color="auto"/>
        <w:right w:val="none" w:sz="0" w:space="0" w:color="auto"/>
      </w:divBdr>
      <w:divsChild>
        <w:div w:id="741563733">
          <w:marLeft w:val="0"/>
          <w:marRight w:val="0"/>
          <w:marTop w:val="0"/>
          <w:marBottom w:val="0"/>
          <w:divBdr>
            <w:top w:val="none" w:sz="0" w:space="0" w:color="auto"/>
            <w:left w:val="none" w:sz="0" w:space="0" w:color="auto"/>
            <w:bottom w:val="none" w:sz="0" w:space="0" w:color="auto"/>
            <w:right w:val="none" w:sz="0" w:space="0" w:color="auto"/>
          </w:divBdr>
          <w:divsChild>
            <w:div w:id="1045640490">
              <w:marLeft w:val="0"/>
              <w:marRight w:val="0"/>
              <w:marTop w:val="0"/>
              <w:marBottom w:val="0"/>
              <w:divBdr>
                <w:top w:val="none" w:sz="0" w:space="0" w:color="auto"/>
                <w:left w:val="none" w:sz="0" w:space="0" w:color="auto"/>
                <w:bottom w:val="none" w:sz="0" w:space="0" w:color="auto"/>
                <w:right w:val="none" w:sz="0" w:space="0" w:color="auto"/>
              </w:divBdr>
              <w:divsChild>
                <w:div w:id="250505525">
                  <w:marLeft w:val="0"/>
                  <w:marRight w:val="-6084"/>
                  <w:marTop w:val="0"/>
                  <w:marBottom w:val="0"/>
                  <w:divBdr>
                    <w:top w:val="none" w:sz="0" w:space="0" w:color="auto"/>
                    <w:left w:val="none" w:sz="0" w:space="0" w:color="auto"/>
                    <w:bottom w:val="none" w:sz="0" w:space="0" w:color="auto"/>
                    <w:right w:val="none" w:sz="0" w:space="0" w:color="auto"/>
                  </w:divBdr>
                  <w:divsChild>
                    <w:div w:id="1066607395">
                      <w:marLeft w:val="0"/>
                      <w:marRight w:val="5844"/>
                      <w:marTop w:val="0"/>
                      <w:marBottom w:val="0"/>
                      <w:divBdr>
                        <w:top w:val="none" w:sz="0" w:space="0" w:color="auto"/>
                        <w:left w:val="none" w:sz="0" w:space="0" w:color="auto"/>
                        <w:bottom w:val="none" w:sz="0" w:space="0" w:color="auto"/>
                        <w:right w:val="none" w:sz="0" w:space="0" w:color="auto"/>
                      </w:divBdr>
                      <w:divsChild>
                        <w:div w:id="191966766">
                          <w:marLeft w:val="0"/>
                          <w:marRight w:val="0"/>
                          <w:marTop w:val="0"/>
                          <w:marBottom w:val="0"/>
                          <w:divBdr>
                            <w:top w:val="none" w:sz="0" w:space="0" w:color="auto"/>
                            <w:left w:val="none" w:sz="0" w:space="0" w:color="auto"/>
                            <w:bottom w:val="none" w:sz="0" w:space="0" w:color="auto"/>
                            <w:right w:val="none" w:sz="0" w:space="0" w:color="auto"/>
                          </w:divBdr>
                          <w:divsChild>
                            <w:div w:id="1119252535">
                              <w:marLeft w:val="0"/>
                              <w:marRight w:val="0"/>
                              <w:marTop w:val="120"/>
                              <w:marBottom w:val="360"/>
                              <w:divBdr>
                                <w:top w:val="none" w:sz="0" w:space="0" w:color="auto"/>
                                <w:left w:val="none" w:sz="0" w:space="0" w:color="auto"/>
                                <w:bottom w:val="none" w:sz="0" w:space="0" w:color="auto"/>
                                <w:right w:val="none" w:sz="0" w:space="0" w:color="auto"/>
                              </w:divBdr>
                              <w:divsChild>
                                <w:div w:id="317154366">
                                  <w:marLeft w:val="469"/>
                                  <w:marRight w:val="0"/>
                                  <w:marTop w:val="0"/>
                                  <w:marBottom w:val="0"/>
                                  <w:divBdr>
                                    <w:top w:val="none" w:sz="0" w:space="0" w:color="auto"/>
                                    <w:left w:val="none" w:sz="0" w:space="0" w:color="auto"/>
                                    <w:bottom w:val="none" w:sz="0" w:space="0" w:color="auto"/>
                                    <w:right w:val="none" w:sz="0" w:space="0" w:color="auto"/>
                                  </w:divBdr>
                                  <w:divsChild>
                                    <w:div w:id="2141223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311551">
      <w:bodyDiv w:val="1"/>
      <w:marLeft w:val="0"/>
      <w:marRight w:val="0"/>
      <w:marTop w:val="0"/>
      <w:marBottom w:val="0"/>
      <w:divBdr>
        <w:top w:val="none" w:sz="0" w:space="0" w:color="auto"/>
        <w:left w:val="none" w:sz="0" w:space="0" w:color="auto"/>
        <w:bottom w:val="none" w:sz="0" w:space="0" w:color="auto"/>
        <w:right w:val="none" w:sz="0" w:space="0" w:color="auto"/>
      </w:divBdr>
    </w:div>
    <w:div w:id="501699053">
      <w:bodyDiv w:val="1"/>
      <w:marLeft w:val="0"/>
      <w:marRight w:val="0"/>
      <w:marTop w:val="0"/>
      <w:marBottom w:val="0"/>
      <w:divBdr>
        <w:top w:val="none" w:sz="0" w:space="0" w:color="auto"/>
        <w:left w:val="none" w:sz="0" w:space="0" w:color="auto"/>
        <w:bottom w:val="none" w:sz="0" w:space="0" w:color="auto"/>
        <w:right w:val="none" w:sz="0" w:space="0" w:color="auto"/>
      </w:divBdr>
    </w:div>
    <w:div w:id="528490493">
      <w:bodyDiv w:val="1"/>
      <w:marLeft w:val="0"/>
      <w:marRight w:val="0"/>
      <w:marTop w:val="0"/>
      <w:marBottom w:val="0"/>
      <w:divBdr>
        <w:top w:val="none" w:sz="0" w:space="0" w:color="auto"/>
        <w:left w:val="none" w:sz="0" w:space="0" w:color="auto"/>
        <w:bottom w:val="none" w:sz="0" w:space="0" w:color="auto"/>
        <w:right w:val="none" w:sz="0" w:space="0" w:color="auto"/>
      </w:divBdr>
    </w:div>
    <w:div w:id="535658187">
      <w:bodyDiv w:val="1"/>
      <w:marLeft w:val="0"/>
      <w:marRight w:val="0"/>
      <w:marTop w:val="0"/>
      <w:marBottom w:val="0"/>
      <w:divBdr>
        <w:top w:val="none" w:sz="0" w:space="0" w:color="auto"/>
        <w:left w:val="none" w:sz="0" w:space="0" w:color="auto"/>
        <w:bottom w:val="none" w:sz="0" w:space="0" w:color="auto"/>
        <w:right w:val="none" w:sz="0" w:space="0" w:color="auto"/>
      </w:divBdr>
    </w:div>
    <w:div w:id="546724449">
      <w:bodyDiv w:val="1"/>
      <w:marLeft w:val="0"/>
      <w:marRight w:val="0"/>
      <w:marTop w:val="0"/>
      <w:marBottom w:val="0"/>
      <w:divBdr>
        <w:top w:val="none" w:sz="0" w:space="0" w:color="auto"/>
        <w:left w:val="none" w:sz="0" w:space="0" w:color="auto"/>
        <w:bottom w:val="none" w:sz="0" w:space="0" w:color="auto"/>
        <w:right w:val="none" w:sz="0" w:space="0" w:color="auto"/>
      </w:divBdr>
    </w:div>
    <w:div w:id="666132761">
      <w:bodyDiv w:val="1"/>
      <w:marLeft w:val="0"/>
      <w:marRight w:val="0"/>
      <w:marTop w:val="0"/>
      <w:marBottom w:val="0"/>
      <w:divBdr>
        <w:top w:val="none" w:sz="0" w:space="0" w:color="auto"/>
        <w:left w:val="none" w:sz="0" w:space="0" w:color="auto"/>
        <w:bottom w:val="none" w:sz="0" w:space="0" w:color="auto"/>
        <w:right w:val="none" w:sz="0" w:space="0" w:color="auto"/>
      </w:divBdr>
    </w:div>
    <w:div w:id="709107132">
      <w:bodyDiv w:val="1"/>
      <w:marLeft w:val="0"/>
      <w:marRight w:val="0"/>
      <w:marTop w:val="0"/>
      <w:marBottom w:val="0"/>
      <w:divBdr>
        <w:top w:val="none" w:sz="0" w:space="0" w:color="auto"/>
        <w:left w:val="none" w:sz="0" w:space="0" w:color="auto"/>
        <w:bottom w:val="none" w:sz="0" w:space="0" w:color="auto"/>
        <w:right w:val="none" w:sz="0" w:space="0" w:color="auto"/>
      </w:divBdr>
    </w:div>
    <w:div w:id="712847186">
      <w:bodyDiv w:val="1"/>
      <w:marLeft w:val="0"/>
      <w:marRight w:val="0"/>
      <w:marTop w:val="0"/>
      <w:marBottom w:val="0"/>
      <w:divBdr>
        <w:top w:val="none" w:sz="0" w:space="0" w:color="auto"/>
        <w:left w:val="none" w:sz="0" w:space="0" w:color="auto"/>
        <w:bottom w:val="none" w:sz="0" w:space="0" w:color="auto"/>
        <w:right w:val="none" w:sz="0" w:space="0" w:color="auto"/>
      </w:divBdr>
      <w:divsChild>
        <w:div w:id="1259414181">
          <w:marLeft w:val="0"/>
          <w:marRight w:val="0"/>
          <w:marTop w:val="0"/>
          <w:marBottom w:val="0"/>
          <w:divBdr>
            <w:top w:val="none" w:sz="0" w:space="0" w:color="auto"/>
            <w:left w:val="none" w:sz="0" w:space="0" w:color="auto"/>
            <w:bottom w:val="none" w:sz="0" w:space="0" w:color="auto"/>
            <w:right w:val="none" w:sz="0" w:space="0" w:color="auto"/>
          </w:divBdr>
          <w:divsChild>
            <w:div w:id="2013294812">
              <w:marLeft w:val="0"/>
              <w:marRight w:val="0"/>
              <w:marTop w:val="0"/>
              <w:marBottom w:val="0"/>
              <w:divBdr>
                <w:top w:val="none" w:sz="0" w:space="0" w:color="auto"/>
                <w:left w:val="none" w:sz="0" w:space="0" w:color="auto"/>
                <w:bottom w:val="none" w:sz="0" w:space="0" w:color="auto"/>
                <w:right w:val="none" w:sz="0" w:space="0" w:color="auto"/>
              </w:divBdr>
              <w:divsChild>
                <w:div w:id="1546407631">
                  <w:marLeft w:val="0"/>
                  <w:marRight w:val="-6084"/>
                  <w:marTop w:val="0"/>
                  <w:marBottom w:val="0"/>
                  <w:divBdr>
                    <w:top w:val="none" w:sz="0" w:space="0" w:color="auto"/>
                    <w:left w:val="none" w:sz="0" w:space="0" w:color="auto"/>
                    <w:bottom w:val="none" w:sz="0" w:space="0" w:color="auto"/>
                    <w:right w:val="none" w:sz="0" w:space="0" w:color="auto"/>
                  </w:divBdr>
                  <w:divsChild>
                    <w:div w:id="1408577205">
                      <w:marLeft w:val="0"/>
                      <w:marRight w:val="5604"/>
                      <w:marTop w:val="0"/>
                      <w:marBottom w:val="0"/>
                      <w:divBdr>
                        <w:top w:val="none" w:sz="0" w:space="0" w:color="auto"/>
                        <w:left w:val="none" w:sz="0" w:space="0" w:color="auto"/>
                        <w:bottom w:val="none" w:sz="0" w:space="0" w:color="auto"/>
                        <w:right w:val="none" w:sz="0" w:space="0" w:color="auto"/>
                      </w:divBdr>
                      <w:divsChild>
                        <w:div w:id="928271107">
                          <w:marLeft w:val="0"/>
                          <w:marRight w:val="0"/>
                          <w:marTop w:val="0"/>
                          <w:marBottom w:val="0"/>
                          <w:divBdr>
                            <w:top w:val="none" w:sz="0" w:space="0" w:color="auto"/>
                            <w:left w:val="none" w:sz="0" w:space="0" w:color="auto"/>
                            <w:bottom w:val="none" w:sz="0" w:space="0" w:color="auto"/>
                            <w:right w:val="none" w:sz="0" w:space="0" w:color="auto"/>
                          </w:divBdr>
                          <w:divsChild>
                            <w:div w:id="421953079">
                              <w:marLeft w:val="0"/>
                              <w:marRight w:val="0"/>
                              <w:marTop w:val="120"/>
                              <w:marBottom w:val="360"/>
                              <w:divBdr>
                                <w:top w:val="none" w:sz="0" w:space="0" w:color="auto"/>
                                <w:left w:val="none" w:sz="0" w:space="0" w:color="auto"/>
                                <w:bottom w:val="none" w:sz="0" w:space="0" w:color="auto"/>
                                <w:right w:val="none" w:sz="0" w:space="0" w:color="auto"/>
                              </w:divBdr>
                              <w:divsChild>
                                <w:div w:id="172244089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775580">
      <w:bodyDiv w:val="1"/>
      <w:marLeft w:val="0"/>
      <w:marRight w:val="0"/>
      <w:marTop w:val="0"/>
      <w:marBottom w:val="0"/>
      <w:divBdr>
        <w:top w:val="none" w:sz="0" w:space="0" w:color="auto"/>
        <w:left w:val="none" w:sz="0" w:space="0" w:color="auto"/>
        <w:bottom w:val="none" w:sz="0" w:space="0" w:color="auto"/>
        <w:right w:val="none" w:sz="0" w:space="0" w:color="auto"/>
      </w:divBdr>
    </w:div>
    <w:div w:id="766274300">
      <w:bodyDiv w:val="1"/>
      <w:marLeft w:val="0"/>
      <w:marRight w:val="0"/>
      <w:marTop w:val="0"/>
      <w:marBottom w:val="0"/>
      <w:divBdr>
        <w:top w:val="none" w:sz="0" w:space="0" w:color="auto"/>
        <w:left w:val="none" w:sz="0" w:space="0" w:color="auto"/>
        <w:bottom w:val="none" w:sz="0" w:space="0" w:color="auto"/>
        <w:right w:val="none" w:sz="0" w:space="0" w:color="auto"/>
      </w:divBdr>
    </w:div>
    <w:div w:id="848642292">
      <w:bodyDiv w:val="1"/>
      <w:marLeft w:val="0"/>
      <w:marRight w:val="0"/>
      <w:marTop w:val="0"/>
      <w:marBottom w:val="0"/>
      <w:divBdr>
        <w:top w:val="none" w:sz="0" w:space="0" w:color="auto"/>
        <w:left w:val="none" w:sz="0" w:space="0" w:color="auto"/>
        <w:bottom w:val="none" w:sz="0" w:space="0" w:color="auto"/>
        <w:right w:val="none" w:sz="0" w:space="0" w:color="auto"/>
      </w:divBdr>
    </w:div>
    <w:div w:id="891306377">
      <w:bodyDiv w:val="1"/>
      <w:marLeft w:val="0"/>
      <w:marRight w:val="0"/>
      <w:marTop w:val="0"/>
      <w:marBottom w:val="0"/>
      <w:divBdr>
        <w:top w:val="none" w:sz="0" w:space="0" w:color="auto"/>
        <w:left w:val="none" w:sz="0" w:space="0" w:color="auto"/>
        <w:bottom w:val="none" w:sz="0" w:space="0" w:color="auto"/>
        <w:right w:val="none" w:sz="0" w:space="0" w:color="auto"/>
      </w:divBdr>
    </w:div>
    <w:div w:id="918710182">
      <w:bodyDiv w:val="1"/>
      <w:marLeft w:val="0"/>
      <w:marRight w:val="0"/>
      <w:marTop w:val="0"/>
      <w:marBottom w:val="0"/>
      <w:divBdr>
        <w:top w:val="none" w:sz="0" w:space="0" w:color="auto"/>
        <w:left w:val="none" w:sz="0" w:space="0" w:color="auto"/>
        <w:bottom w:val="none" w:sz="0" w:space="0" w:color="auto"/>
        <w:right w:val="none" w:sz="0" w:space="0" w:color="auto"/>
      </w:divBdr>
    </w:div>
    <w:div w:id="948007142">
      <w:bodyDiv w:val="1"/>
      <w:marLeft w:val="0"/>
      <w:marRight w:val="0"/>
      <w:marTop w:val="0"/>
      <w:marBottom w:val="0"/>
      <w:divBdr>
        <w:top w:val="none" w:sz="0" w:space="0" w:color="auto"/>
        <w:left w:val="none" w:sz="0" w:space="0" w:color="auto"/>
        <w:bottom w:val="none" w:sz="0" w:space="0" w:color="auto"/>
        <w:right w:val="none" w:sz="0" w:space="0" w:color="auto"/>
      </w:divBdr>
      <w:divsChild>
        <w:div w:id="813331682">
          <w:marLeft w:val="0"/>
          <w:marRight w:val="0"/>
          <w:marTop w:val="0"/>
          <w:marBottom w:val="0"/>
          <w:divBdr>
            <w:top w:val="none" w:sz="0" w:space="0" w:color="auto"/>
            <w:left w:val="none" w:sz="0" w:space="0" w:color="auto"/>
            <w:bottom w:val="none" w:sz="0" w:space="0" w:color="auto"/>
            <w:right w:val="none" w:sz="0" w:space="0" w:color="auto"/>
          </w:divBdr>
          <w:divsChild>
            <w:div w:id="231238102">
              <w:marLeft w:val="0"/>
              <w:marRight w:val="0"/>
              <w:marTop w:val="0"/>
              <w:marBottom w:val="0"/>
              <w:divBdr>
                <w:top w:val="none" w:sz="0" w:space="0" w:color="auto"/>
                <w:left w:val="none" w:sz="0" w:space="0" w:color="auto"/>
                <w:bottom w:val="none" w:sz="0" w:space="0" w:color="auto"/>
                <w:right w:val="none" w:sz="0" w:space="0" w:color="auto"/>
              </w:divBdr>
            </w:div>
            <w:div w:id="889074999">
              <w:marLeft w:val="0"/>
              <w:marRight w:val="0"/>
              <w:marTop w:val="0"/>
              <w:marBottom w:val="0"/>
              <w:divBdr>
                <w:top w:val="none" w:sz="0" w:space="0" w:color="auto"/>
                <w:left w:val="none" w:sz="0" w:space="0" w:color="auto"/>
                <w:bottom w:val="none" w:sz="0" w:space="0" w:color="auto"/>
                <w:right w:val="none" w:sz="0" w:space="0" w:color="auto"/>
              </w:divBdr>
            </w:div>
            <w:div w:id="1400130964">
              <w:marLeft w:val="0"/>
              <w:marRight w:val="0"/>
              <w:marTop w:val="0"/>
              <w:marBottom w:val="0"/>
              <w:divBdr>
                <w:top w:val="none" w:sz="0" w:space="0" w:color="auto"/>
                <w:left w:val="none" w:sz="0" w:space="0" w:color="auto"/>
                <w:bottom w:val="none" w:sz="0" w:space="0" w:color="auto"/>
                <w:right w:val="none" w:sz="0" w:space="0" w:color="auto"/>
              </w:divBdr>
            </w:div>
            <w:div w:id="16287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012">
      <w:bodyDiv w:val="1"/>
      <w:marLeft w:val="0"/>
      <w:marRight w:val="0"/>
      <w:marTop w:val="0"/>
      <w:marBottom w:val="0"/>
      <w:divBdr>
        <w:top w:val="none" w:sz="0" w:space="0" w:color="auto"/>
        <w:left w:val="none" w:sz="0" w:space="0" w:color="auto"/>
        <w:bottom w:val="none" w:sz="0" w:space="0" w:color="auto"/>
        <w:right w:val="none" w:sz="0" w:space="0" w:color="auto"/>
      </w:divBdr>
    </w:div>
    <w:div w:id="974140574">
      <w:bodyDiv w:val="1"/>
      <w:marLeft w:val="0"/>
      <w:marRight w:val="0"/>
      <w:marTop w:val="0"/>
      <w:marBottom w:val="0"/>
      <w:divBdr>
        <w:top w:val="none" w:sz="0" w:space="0" w:color="auto"/>
        <w:left w:val="none" w:sz="0" w:space="0" w:color="auto"/>
        <w:bottom w:val="none" w:sz="0" w:space="0" w:color="auto"/>
        <w:right w:val="none" w:sz="0" w:space="0" w:color="auto"/>
      </w:divBdr>
    </w:div>
    <w:div w:id="981883366">
      <w:bodyDiv w:val="1"/>
      <w:marLeft w:val="0"/>
      <w:marRight w:val="0"/>
      <w:marTop w:val="0"/>
      <w:marBottom w:val="0"/>
      <w:divBdr>
        <w:top w:val="none" w:sz="0" w:space="0" w:color="auto"/>
        <w:left w:val="none" w:sz="0" w:space="0" w:color="auto"/>
        <w:bottom w:val="none" w:sz="0" w:space="0" w:color="auto"/>
        <w:right w:val="none" w:sz="0" w:space="0" w:color="auto"/>
      </w:divBdr>
    </w:div>
    <w:div w:id="996493126">
      <w:bodyDiv w:val="1"/>
      <w:marLeft w:val="0"/>
      <w:marRight w:val="0"/>
      <w:marTop w:val="0"/>
      <w:marBottom w:val="0"/>
      <w:divBdr>
        <w:top w:val="none" w:sz="0" w:space="0" w:color="auto"/>
        <w:left w:val="none" w:sz="0" w:space="0" w:color="auto"/>
        <w:bottom w:val="none" w:sz="0" w:space="0" w:color="auto"/>
        <w:right w:val="none" w:sz="0" w:space="0" w:color="auto"/>
      </w:divBdr>
    </w:div>
    <w:div w:id="1017271410">
      <w:bodyDiv w:val="1"/>
      <w:marLeft w:val="0"/>
      <w:marRight w:val="0"/>
      <w:marTop w:val="0"/>
      <w:marBottom w:val="0"/>
      <w:divBdr>
        <w:top w:val="none" w:sz="0" w:space="0" w:color="auto"/>
        <w:left w:val="none" w:sz="0" w:space="0" w:color="auto"/>
        <w:bottom w:val="none" w:sz="0" w:space="0" w:color="auto"/>
        <w:right w:val="none" w:sz="0" w:space="0" w:color="auto"/>
      </w:divBdr>
    </w:div>
    <w:div w:id="1031223314">
      <w:bodyDiv w:val="1"/>
      <w:marLeft w:val="0"/>
      <w:marRight w:val="0"/>
      <w:marTop w:val="0"/>
      <w:marBottom w:val="0"/>
      <w:divBdr>
        <w:top w:val="none" w:sz="0" w:space="0" w:color="auto"/>
        <w:left w:val="none" w:sz="0" w:space="0" w:color="auto"/>
        <w:bottom w:val="none" w:sz="0" w:space="0" w:color="auto"/>
        <w:right w:val="none" w:sz="0" w:space="0" w:color="auto"/>
      </w:divBdr>
    </w:div>
    <w:div w:id="1037120087">
      <w:bodyDiv w:val="1"/>
      <w:marLeft w:val="0"/>
      <w:marRight w:val="0"/>
      <w:marTop w:val="0"/>
      <w:marBottom w:val="0"/>
      <w:divBdr>
        <w:top w:val="none" w:sz="0" w:space="0" w:color="auto"/>
        <w:left w:val="none" w:sz="0" w:space="0" w:color="auto"/>
        <w:bottom w:val="none" w:sz="0" w:space="0" w:color="auto"/>
        <w:right w:val="none" w:sz="0" w:space="0" w:color="auto"/>
      </w:divBdr>
    </w:div>
    <w:div w:id="1042827046">
      <w:bodyDiv w:val="1"/>
      <w:marLeft w:val="0"/>
      <w:marRight w:val="0"/>
      <w:marTop w:val="0"/>
      <w:marBottom w:val="0"/>
      <w:divBdr>
        <w:top w:val="none" w:sz="0" w:space="0" w:color="auto"/>
        <w:left w:val="none" w:sz="0" w:space="0" w:color="auto"/>
        <w:bottom w:val="none" w:sz="0" w:space="0" w:color="auto"/>
        <w:right w:val="none" w:sz="0" w:space="0" w:color="auto"/>
      </w:divBdr>
    </w:div>
    <w:div w:id="1067262141">
      <w:bodyDiv w:val="1"/>
      <w:marLeft w:val="0"/>
      <w:marRight w:val="0"/>
      <w:marTop w:val="0"/>
      <w:marBottom w:val="0"/>
      <w:divBdr>
        <w:top w:val="none" w:sz="0" w:space="0" w:color="auto"/>
        <w:left w:val="none" w:sz="0" w:space="0" w:color="auto"/>
        <w:bottom w:val="none" w:sz="0" w:space="0" w:color="auto"/>
        <w:right w:val="none" w:sz="0" w:space="0" w:color="auto"/>
      </w:divBdr>
    </w:div>
    <w:div w:id="1070493835">
      <w:bodyDiv w:val="1"/>
      <w:marLeft w:val="0"/>
      <w:marRight w:val="0"/>
      <w:marTop w:val="0"/>
      <w:marBottom w:val="0"/>
      <w:divBdr>
        <w:top w:val="none" w:sz="0" w:space="0" w:color="auto"/>
        <w:left w:val="none" w:sz="0" w:space="0" w:color="auto"/>
        <w:bottom w:val="none" w:sz="0" w:space="0" w:color="auto"/>
        <w:right w:val="none" w:sz="0" w:space="0" w:color="auto"/>
      </w:divBdr>
    </w:div>
    <w:div w:id="1072459936">
      <w:bodyDiv w:val="1"/>
      <w:marLeft w:val="0"/>
      <w:marRight w:val="0"/>
      <w:marTop w:val="0"/>
      <w:marBottom w:val="0"/>
      <w:divBdr>
        <w:top w:val="none" w:sz="0" w:space="0" w:color="auto"/>
        <w:left w:val="none" w:sz="0" w:space="0" w:color="auto"/>
        <w:bottom w:val="none" w:sz="0" w:space="0" w:color="auto"/>
        <w:right w:val="none" w:sz="0" w:space="0" w:color="auto"/>
      </w:divBdr>
    </w:div>
    <w:div w:id="1079014923">
      <w:bodyDiv w:val="1"/>
      <w:marLeft w:val="0"/>
      <w:marRight w:val="0"/>
      <w:marTop w:val="0"/>
      <w:marBottom w:val="0"/>
      <w:divBdr>
        <w:top w:val="none" w:sz="0" w:space="0" w:color="auto"/>
        <w:left w:val="none" w:sz="0" w:space="0" w:color="auto"/>
        <w:bottom w:val="none" w:sz="0" w:space="0" w:color="auto"/>
        <w:right w:val="none" w:sz="0" w:space="0" w:color="auto"/>
      </w:divBdr>
    </w:div>
    <w:div w:id="1097482820">
      <w:bodyDiv w:val="1"/>
      <w:marLeft w:val="0"/>
      <w:marRight w:val="0"/>
      <w:marTop w:val="0"/>
      <w:marBottom w:val="0"/>
      <w:divBdr>
        <w:top w:val="none" w:sz="0" w:space="0" w:color="auto"/>
        <w:left w:val="none" w:sz="0" w:space="0" w:color="auto"/>
        <w:bottom w:val="none" w:sz="0" w:space="0" w:color="auto"/>
        <w:right w:val="none" w:sz="0" w:space="0" w:color="auto"/>
      </w:divBdr>
    </w:div>
    <w:div w:id="1115053341">
      <w:bodyDiv w:val="1"/>
      <w:marLeft w:val="0"/>
      <w:marRight w:val="0"/>
      <w:marTop w:val="0"/>
      <w:marBottom w:val="0"/>
      <w:divBdr>
        <w:top w:val="none" w:sz="0" w:space="0" w:color="auto"/>
        <w:left w:val="none" w:sz="0" w:space="0" w:color="auto"/>
        <w:bottom w:val="none" w:sz="0" w:space="0" w:color="auto"/>
        <w:right w:val="none" w:sz="0" w:space="0" w:color="auto"/>
      </w:divBdr>
      <w:divsChild>
        <w:div w:id="1770999228">
          <w:marLeft w:val="0"/>
          <w:marRight w:val="0"/>
          <w:marTop w:val="0"/>
          <w:marBottom w:val="0"/>
          <w:divBdr>
            <w:top w:val="none" w:sz="0" w:space="0" w:color="auto"/>
            <w:left w:val="none" w:sz="0" w:space="0" w:color="auto"/>
            <w:bottom w:val="none" w:sz="0" w:space="0" w:color="auto"/>
            <w:right w:val="none" w:sz="0" w:space="0" w:color="auto"/>
          </w:divBdr>
        </w:div>
      </w:divsChild>
    </w:div>
    <w:div w:id="1131705612">
      <w:bodyDiv w:val="1"/>
      <w:marLeft w:val="0"/>
      <w:marRight w:val="0"/>
      <w:marTop w:val="0"/>
      <w:marBottom w:val="0"/>
      <w:divBdr>
        <w:top w:val="none" w:sz="0" w:space="0" w:color="auto"/>
        <w:left w:val="none" w:sz="0" w:space="0" w:color="auto"/>
        <w:bottom w:val="none" w:sz="0" w:space="0" w:color="auto"/>
        <w:right w:val="none" w:sz="0" w:space="0" w:color="auto"/>
      </w:divBdr>
      <w:divsChild>
        <w:div w:id="341517446">
          <w:marLeft w:val="0"/>
          <w:marRight w:val="0"/>
          <w:marTop w:val="0"/>
          <w:marBottom w:val="0"/>
          <w:divBdr>
            <w:top w:val="none" w:sz="0" w:space="0" w:color="auto"/>
            <w:left w:val="none" w:sz="0" w:space="0" w:color="auto"/>
            <w:bottom w:val="none" w:sz="0" w:space="0" w:color="auto"/>
            <w:right w:val="none" w:sz="0" w:space="0" w:color="auto"/>
          </w:divBdr>
          <w:divsChild>
            <w:div w:id="955789376">
              <w:marLeft w:val="0"/>
              <w:marRight w:val="0"/>
              <w:marTop w:val="0"/>
              <w:marBottom w:val="0"/>
              <w:divBdr>
                <w:top w:val="none" w:sz="0" w:space="0" w:color="auto"/>
                <w:left w:val="none" w:sz="0" w:space="0" w:color="auto"/>
                <w:bottom w:val="none" w:sz="0" w:space="0" w:color="auto"/>
                <w:right w:val="none" w:sz="0" w:space="0" w:color="auto"/>
              </w:divBdr>
              <w:divsChild>
                <w:div w:id="1684893632">
                  <w:marLeft w:val="0"/>
                  <w:marRight w:val="-6084"/>
                  <w:marTop w:val="0"/>
                  <w:marBottom w:val="0"/>
                  <w:divBdr>
                    <w:top w:val="none" w:sz="0" w:space="0" w:color="auto"/>
                    <w:left w:val="none" w:sz="0" w:space="0" w:color="auto"/>
                    <w:bottom w:val="none" w:sz="0" w:space="0" w:color="auto"/>
                    <w:right w:val="none" w:sz="0" w:space="0" w:color="auto"/>
                  </w:divBdr>
                  <w:divsChild>
                    <w:div w:id="294147094">
                      <w:marLeft w:val="0"/>
                      <w:marRight w:val="5604"/>
                      <w:marTop w:val="0"/>
                      <w:marBottom w:val="0"/>
                      <w:divBdr>
                        <w:top w:val="none" w:sz="0" w:space="0" w:color="auto"/>
                        <w:left w:val="none" w:sz="0" w:space="0" w:color="auto"/>
                        <w:bottom w:val="none" w:sz="0" w:space="0" w:color="auto"/>
                        <w:right w:val="none" w:sz="0" w:space="0" w:color="auto"/>
                      </w:divBdr>
                      <w:divsChild>
                        <w:div w:id="43792101">
                          <w:marLeft w:val="0"/>
                          <w:marRight w:val="0"/>
                          <w:marTop w:val="0"/>
                          <w:marBottom w:val="0"/>
                          <w:divBdr>
                            <w:top w:val="none" w:sz="0" w:space="0" w:color="auto"/>
                            <w:left w:val="none" w:sz="0" w:space="0" w:color="auto"/>
                            <w:bottom w:val="none" w:sz="0" w:space="0" w:color="auto"/>
                            <w:right w:val="none" w:sz="0" w:space="0" w:color="auto"/>
                          </w:divBdr>
                          <w:divsChild>
                            <w:div w:id="672342492">
                              <w:marLeft w:val="0"/>
                              <w:marRight w:val="0"/>
                              <w:marTop w:val="120"/>
                              <w:marBottom w:val="360"/>
                              <w:divBdr>
                                <w:top w:val="none" w:sz="0" w:space="0" w:color="auto"/>
                                <w:left w:val="none" w:sz="0" w:space="0" w:color="auto"/>
                                <w:bottom w:val="none" w:sz="0" w:space="0" w:color="auto"/>
                                <w:right w:val="none" w:sz="0" w:space="0" w:color="auto"/>
                              </w:divBdr>
                              <w:divsChild>
                                <w:div w:id="121191483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565663">
      <w:bodyDiv w:val="1"/>
      <w:marLeft w:val="0"/>
      <w:marRight w:val="0"/>
      <w:marTop w:val="0"/>
      <w:marBottom w:val="0"/>
      <w:divBdr>
        <w:top w:val="none" w:sz="0" w:space="0" w:color="auto"/>
        <w:left w:val="none" w:sz="0" w:space="0" w:color="auto"/>
        <w:bottom w:val="none" w:sz="0" w:space="0" w:color="auto"/>
        <w:right w:val="none" w:sz="0" w:space="0" w:color="auto"/>
      </w:divBdr>
    </w:div>
    <w:div w:id="1177187728">
      <w:bodyDiv w:val="1"/>
      <w:marLeft w:val="0"/>
      <w:marRight w:val="0"/>
      <w:marTop w:val="0"/>
      <w:marBottom w:val="0"/>
      <w:divBdr>
        <w:top w:val="none" w:sz="0" w:space="0" w:color="auto"/>
        <w:left w:val="none" w:sz="0" w:space="0" w:color="auto"/>
        <w:bottom w:val="none" w:sz="0" w:space="0" w:color="auto"/>
        <w:right w:val="none" w:sz="0" w:space="0" w:color="auto"/>
      </w:divBdr>
    </w:div>
    <w:div w:id="1182277972">
      <w:bodyDiv w:val="1"/>
      <w:marLeft w:val="0"/>
      <w:marRight w:val="0"/>
      <w:marTop w:val="0"/>
      <w:marBottom w:val="0"/>
      <w:divBdr>
        <w:top w:val="none" w:sz="0" w:space="0" w:color="auto"/>
        <w:left w:val="none" w:sz="0" w:space="0" w:color="auto"/>
        <w:bottom w:val="none" w:sz="0" w:space="0" w:color="auto"/>
        <w:right w:val="none" w:sz="0" w:space="0" w:color="auto"/>
      </w:divBdr>
    </w:div>
    <w:div w:id="1183668304">
      <w:bodyDiv w:val="1"/>
      <w:marLeft w:val="0"/>
      <w:marRight w:val="0"/>
      <w:marTop w:val="0"/>
      <w:marBottom w:val="0"/>
      <w:divBdr>
        <w:top w:val="none" w:sz="0" w:space="0" w:color="auto"/>
        <w:left w:val="none" w:sz="0" w:space="0" w:color="auto"/>
        <w:bottom w:val="none" w:sz="0" w:space="0" w:color="auto"/>
        <w:right w:val="none" w:sz="0" w:space="0" w:color="auto"/>
      </w:divBdr>
    </w:div>
    <w:div w:id="1184705657">
      <w:bodyDiv w:val="1"/>
      <w:marLeft w:val="0"/>
      <w:marRight w:val="0"/>
      <w:marTop w:val="0"/>
      <w:marBottom w:val="0"/>
      <w:divBdr>
        <w:top w:val="none" w:sz="0" w:space="0" w:color="auto"/>
        <w:left w:val="none" w:sz="0" w:space="0" w:color="auto"/>
        <w:bottom w:val="none" w:sz="0" w:space="0" w:color="auto"/>
        <w:right w:val="none" w:sz="0" w:space="0" w:color="auto"/>
      </w:divBdr>
    </w:div>
    <w:div w:id="1213421403">
      <w:bodyDiv w:val="1"/>
      <w:marLeft w:val="0"/>
      <w:marRight w:val="0"/>
      <w:marTop w:val="0"/>
      <w:marBottom w:val="0"/>
      <w:divBdr>
        <w:top w:val="none" w:sz="0" w:space="0" w:color="auto"/>
        <w:left w:val="none" w:sz="0" w:space="0" w:color="auto"/>
        <w:bottom w:val="none" w:sz="0" w:space="0" w:color="auto"/>
        <w:right w:val="none" w:sz="0" w:space="0" w:color="auto"/>
      </w:divBdr>
    </w:div>
    <w:div w:id="1220047881">
      <w:bodyDiv w:val="1"/>
      <w:marLeft w:val="0"/>
      <w:marRight w:val="0"/>
      <w:marTop w:val="0"/>
      <w:marBottom w:val="0"/>
      <w:divBdr>
        <w:top w:val="none" w:sz="0" w:space="0" w:color="auto"/>
        <w:left w:val="none" w:sz="0" w:space="0" w:color="auto"/>
        <w:bottom w:val="none" w:sz="0" w:space="0" w:color="auto"/>
        <w:right w:val="none" w:sz="0" w:space="0" w:color="auto"/>
      </w:divBdr>
    </w:div>
    <w:div w:id="1225527509">
      <w:bodyDiv w:val="1"/>
      <w:marLeft w:val="0"/>
      <w:marRight w:val="0"/>
      <w:marTop w:val="0"/>
      <w:marBottom w:val="0"/>
      <w:divBdr>
        <w:top w:val="none" w:sz="0" w:space="0" w:color="auto"/>
        <w:left w:val="none" w:sz="0" w:space="0" w:color="auto"/>
        <w:bottom w:val="none" w:sz="0" w:space="0" w:color="auto"/>
        <w:right w:val="none" w:sz="0" w:space="0" w:color="auto"/>
      </w:divBdr>
    </w:div>
    <w:div w:id="1246838612">
      <w:bodyDiv w:val="1"/>
      <w:marLeft w:val="0"/>
      <w:marRight w:val="0"/>
      <w:marTop w:val="0"/>
      <w:marBottom w:val="0"/>
      <w:divBdr>
        <w:top w:val="none" w:sz="0" w:space="0" w:color="auto"/>
        <w:left w:val="none" w:sz="0" w:space="0" w:color="auto"/>
        <w:bottom w:val="none" w:sz="0" w:space="0" w:color="auto"/>
        <w:right w:val="none" w:sz="0" w:space="0" w:color="auto"/>
      </w:divBdr>
    </w:div>
    <w:div w:id="1262567215">
      <w:bodyDiv w:val="1"/>
      <w:marLeft w:val="0"/>
      <w:marRight w:val="0"/>
      <w:marTop w:val="0"/>
      <w:marBottom w:val="0"/>
      <w:divBdr>
        <w:top w:val="none" w:sz="0" w:space="0" w:color="auto"/>
        <w:left w:val="none" w:sz="0" w:space="0" w:color="auto"/>
        <w:bottom w:val="none" w:sz="0" w:space="0" w:color="auto"/>
        <w:right w:val="none" w:sz="0" w:space="0" w:color="auto"/>
      </w:divBdr>
      <w:divsChild>
        <w:div w:id="1719041783">
          <w:marLeft w:val="0"/>
          <w:marRight w:val="0"/>
          <w:marTop w:val="0"/>
          <w:marBottom w:val="0"/>
          <w:divBdr>
            <w:top w:val="none" w:sz="0" w:space="0" w:color="auto"/>
            <w:left w:val="none" w:sz="0" w:space="0" w:color="auto"/>
            <w:bottom w:val="none" w:sz="0" w:space="0" w:color="auto"/>
            <w:right w:val="none" w:sz="0" w:space="0" w:color="auto"/>
          </w:divBdr>
        </w:div>
        <w:div w:id="1787119368">
          <w:marLeft w:val="0"/>
          <w:marRight w:val="0"/>
          <w:marTop w:val="0"/>
          <w:marBottom w:val="0"/>
          <w:divBdr>
            <w:top w:val="none" w:sz="0" w:space="0" w:color="auto"/>
            <w:left w:val="none" w:sz="0" w:space="0" w:color="auto"/>
            <w:bottom w:val="none" w:sz="0" w:space="0" w:color="auto"/>
            <w:right w:val="none" w:sz="0" w:space="0" w:color="auto"/>
          </w:divBdr>
        </w:div>
        <w:div w:id="622275838">
          <w:marLeft w:val="0"/>
          <w:marRight w:val="0"/>
          <w:marTop w:val="0"/>
          <w:marBottom w:val="0"/>
          <w:divBdr>
            <w:top w:val="none" w:sz="0" w:space="0" w:color="auto"/>
            <w:left w:val="none" w:sz="0" w:space="0" w:color="auto"/>
            <w:bottom w:val="none" w:sz="0" w:space="0" w:color="auto"/>
            <w:right w:val="none" w:sz="0" w:space="0" w:color="auto"/>
          </w:divBdr>
        </w:div>
        <w:div w:id="788742069">
          <w:marLeft w:val="0"/>
          <w:marRight w:val="0"/>
          <w:marTop w:val="0"/>
          <w:marBottom w:val="0"/>
          <w:divBdr>
            <w:top w:val="none" w:sz="0" w:space="0" w:color="auto"/>
            <w:left w:val="none" w:sz="0" w:space="0" w:color="auto"/>
            <w:bottom w:val="none" w:sz="0" w:space="0" w:color="auto"/>
            <w:right w:val="none" w:sz="0" w:space="0" w:color="auto"/>
          </w:divBdr>
        </w:div>
        <w:div w:id="405997800">
          <w:marLeft w:val="0"/>
          <w:marRight w:val="0"/>
          <w:marTop w:val="0"/>
          <w:marBottom w:val="0"/>
          <w:divBdr>
            <w:top w:val="none" w:sz="0" w:space="0" w:color="auto"/>
            <w:left w:val="none" w:sz="0" w:space="0" w:color="auto"/>
            <w:bottom w:val="none" w:sz="0" w:space="0" w:color="auto"/>
            <w:right w:val="none" w:sz="0" w:space="0" w:color="auto"/>
          </w:divBdr>
        </w:div>
        <w:div w:id="1043286335">
          <w:marLeft w:val="0"/>
          <w:marRight w:val="0"/>
          <w:marTop w:val="0"/>
          <w:marBottom w:val="0"/>
          <w:divBdr>
            <w:top w:val="none" w:sz="0" w:space="0" w:color="auto"/>
            <w:left w:val="none" w:sz="0" w:space="0" w:color="auto"/>
            <w:bottom w:val="none" w:sz="0" w:space="0" w:color="auto"/>
            <w:right w:val="none" w:sz="0" w:space="0" w:color="auto"/>
          </w:divBdr>
        </w:div>
        <w:div w:id="579365540">
          <w:marLeft w:val="0"/>
          <w:marRight w:val="0"/>
          <w:marTop w:val="0"/>
          <w:marBottom w:val="0"/>
          <w:divBdr>
            <w:top w:val="none" w:sz="0" w:space="0" w:color="auto"/>
            <w:left w:val="none" w:sz="0" w:space="0" w:color="auto"/>
            <w:bottom w:val="none" w:sz="0" w:space="0" w:color="auto"/>
            <w:right w:val="none" w:sz="0" w:space="0" w:color="auto"/>
          </w:divBdr>
        </w:div>
        <w:div w:id="1103383542">
          <w:marLeft w:val="0"/>
          <w:marRight w:val="0"/>
          <w:marTop w:val="0"/>
          <w:marBottom w:val="0"/>
          <w:divBdr>
            <w:top w:val="none" w:sz="0" w:space="0" w:color="auto"/>
            <w:left w:val="none" w:sz="0" w:space="0" w:color="auto"/>
            <w:bottom w:val="none" w:sz="0" w:space="0" w:color="auto"/>
            <w:right w:val="none" w:sz="0" w:space="0" w:color="auto"/>
          </w:divBdr>
        </w:div>
        <w:div w:id="720637210">
          <w:marLeft w:val="0"/>
          <w:marRight w:val="0"/>
          <w:marTop w:val="0"/>
          <w:marBottom w:val="0"/>
          <w:divBdr>
            <w:top w:val="none" w:sz="0" w:space="0" w:color="auto"/>
            <w:left w:val="none" w:sz="0" w:space="0" w:color="auto"/>
            <w:bottom w:val="none" w:sz="0" w:space="0" w:color="auto"/>
            <w:right w:val="none" w:sz="0" w:space="0" w:color="auto"/>
          </w:divBdr>
        </w:div>
        <w:div w:id="948974718">
          <w:marLeft w:val="0"/>
          <w:marRight w:val="0"/>
          <w:marTop w:val="0"/>
          <w:marBottom w:val="0"/>
          <w:divBdr>
            <w:top w:val="none" w:sz="0" w:space="0" w:color="auto"/>
            <w:left w:val="none" w:sz="0" w:space="0" w:color="auto"/>
            <w:bottom w:val="none" w:sz="0" w:space="0" w:color="auto"/>
            <w:right w:val="none" w:sz="0" w:space="0" w:color="auto"/>
          </w:divBdr>
        </w:div>
        <w:div w:id="1605306164">
          <w:marLeft w:val="0"/>
          <w:marRight w:val="0"/>
          <w:marTop w:val="0"/>
          <w:marBottom w:val="0"/>
          <w:divBdr>
            <w:top w:val="none" w:sz="0" w:space="0" w:color="auto"/>
            <w:left w:val="none" w:sz="0" w:space="0" w:color="auto"/>
            <w:bottom w:val="none" w:sz="0" w:space="0" w:color="auto"/>
            <w:right w:val="none" w:sz="0" w:space="0" w:color="auto"/>
          </w:divBdr>
        </w:div>
        <w:div w:id="1307858712">
          <w:marLeft w:val="0"/>
          <w:marRight w:val="0"/>
          <w:marTop w:val="0"/>
          <w:marBottom w:val="0"/>
          <w:divBdr>
            <w:top w:val="none" w:sz="0" w:space="0" w:color="auto"/>
            <w:left w:val="none" w:sz="0" w:space="0" w:color="auto"/>
            <w:bottom w:val="none" w:sz="0" w:space="0" w:color="auto"/>
            <w:right w:val="none" w:sz="0" w:space="0" w:color="auto"/>
          </w:divBdr>
        </w:div>
        <w:div w:id="1617709316">
          <w:marLeft w:val="0"/>
          <w:marRight w:val="0"/>
          <w:marTop w:val="0"/>
          <w:marBottom w:val="0"/>
          <w:divBdr>
            <w:top w:val="none" w:sz="0" w:space="0" w:color="auto"/>
            <w:left w:val="none" w:sz="0" w:space="0" w:color="auto"/>
            <w:bottom w:val="none" w:sz="0" w:space="0" w:color="auto"/>
            <w:right w:val="none" w:sz="0" w:space="0" w:color="auto"/>
          </w:divBdr>
        </w:div>
        <w:div w:id="696009293">
          <w:marLeft w:val="0"/>
          <w:marRight w:val="0"/>
          <w:marTop w:val="0"/>
          <w:marBottom w:val="0"/>
          <w:divBdr>
            <w:top w:val="none" w:sz="0" w:space="0" w:color="auto"/>
            <w:left w:val="none" w:sz="0" w:space="0" w:color="auto"/>
            <w:bottom w:val="none" w:sz="0" w:space="0" w:color="auto"/>
            <w:right w:val="none" w:sz="0" w:space="0" w:color="auto"/>
          </w:divBdr>
        </w:div>
        <w:div w:id="366609979">
          <w:marLeft w:val="0"/>
          <w:marRight w:val="0"/>
          <w:marTop w:val="0"/>
          <w:marBottom w:val="0"/>
          <w:divBdr>
            <w:top w:val="none" w:sz="0" w:space="0" w:color="auto"/>
            <w:left w:val="none" w:sz="0" w:space="0" w:color="auto"/>
            <w:bottom w:val="none" w:sz="0" w:space="0" w:color="auto"/>
            <w:right w:val="none" w:sz="0" w:space="0" w:color="auto"/>
          </w:divBdr>
        </w:div>
        <w:div w:id="210923919">
          <w:marLeft w:val="0"/>
          <w:marRight w:val="0"/>
          <w:marTop w:val="0"/>
          <w:marBottom w:val="0"/>
          <w:divBdr>
            <w:top w:val="none" w:sz="0" w:space="0" w:color="auto"/>
            <w:left w:val="none" w:sz="0" w:space="0" w:color="auto"/>
            <w:bottom w:val="none" w:sz="0" w:space="0" w:color="auto"/>
            <w:right w:val="none" w:sz="0" w:space="0" w:color="auto"/>
          </w:divBdr>
        </w:div>
        <w:div w:id="347294780">
          <w:marLeft w:val="0"/>
          <w:marRight w:val="0"/>
          <w:marTop w:val="0"/>
          <w:marBottom w:val="0"/>
          <w:divBdr>
            <w:top w:val="none" w:sz="0" w:space="0" w:color="auto"/>
            <w:left w:val="none" w:sz="0" w:space="0" w:color="auto"/>
            <w:bottom w:val="none" w:sz="0" w:space="0" w:color="auto"/>
            <w:right w:val="none" w:sz="0" w:space="0" w:color="auto"/>
          </w:divBdr>
        </w:div>
        <w:div w:id="1090930310">
          <w:marLeft w:val="0"/>
          <w:marRight w:val="0"/>
          <w:marTop w:val="0"/>
          <w:marBottom w:val="0"/>
          <w:divBdr>
            <w:top w:val="none" w:sz="0" w:space="0" w:color="auto"/>
            <w:left w:val="none" w:sz="0" w:space="0" w:color="auto"/>
            <w:bottom w:val="none" w:sz="0" w:space="0" w:color="auto"/>
            <w:right w:val="none" w:sz="0" w:space="0" w:color="auto"/>
          </w:divBdr>
        </w:div>
        <w:div w:id="336421215">
          <w:marLeft w:val="0"/>
          <w:marRight w:val="0"/>
          <w:marTop w:val="0"/>
          <w:marBottom w:val="0"/>
          <w:divBdr>
            <w:top w:val="none" w:sz="0" w:space="0" w:color="auto"/>
            <w:left w:val="none" w:sz="0" w:space="0" w:color="auto"/>
            <w:bottom w:val="none" w:sz="0" w:space="0" w:color="auto"/>
            <w:right w:val="none" w:sz="0" w:space="0" w:color="auto"/>
          </w:divBdr>
        </w:div>
        <w:div w:id="700547003">
          <w:marLeft w:val="0"/>
          <w:marRight w:val="0"/>
          <w:marTop w:val="0"/>
          <w:marBottom w:val="0"/>
          <w:divBdr>
            <w:top w:val="none" w:sz="0" w:space="0" w:color="auto"/>
            <w:left w:val="none" w:sz="0" w:space="0" w:color="auto"/>
            <w:bottom w:val="none" w:sz="0" w:space="0" w:color="auto"/>
            <w:right w:val="none" w:sz="0" w:space="0" w:color="auto"/>
          </w:divBdr>
        </w:div>
        <w:div w:id="1515656165">
          <w:marLeft w:val="0"/>
          <w:marRight w:val="0"/>
          <w:marTop w:val="0"/>
          <w:marBottom w:val="0"/>
          <w:divBdr>
            <w:top w:val="none" w:sz="0" w:space="0" w:color="auto"/>
            <w:left w:val="none" w:sz="0" w:space="0" w:color="auto"/>
            <w:bottom w:val="none" w:sz="0" w:space="0" w:color="auto"/>
            <w:right w:val="none" w:sz="0" w:space="0" w:color="auto"/>
          </w:divBdr>
        </w:div>
        <w:div w:id="1468280229">
          <w:marLeft w:val="0"/>
          <w:marRight w:val="0"/>
          <w:marTop w:val="0"/>
          <w:marBottom w:val="0"/>
          <w:divBdr>
            <w:top w:val="none" w:sz="0" w:space="0" w:color="auto"/>
            <w:left w:val="none" w:sz="0" w:space="0" w:color="auto"/>
            <w:bottom w:val="none" w:sz="0" w:space="0" w:color="auto"/>
            <w:right w:val="none" w:sz="0" w:space="0" w:color="auto"/>
          </w:divBdr>
        </w:div>
        <w:div w:id="839545447">
          <w:marLeft w:val="0"/>
          <w:marRight w:val="0"/>
          <w:marTop w:val="0"/>
          <w:marBottom w:val="0"/>
          <w:divBdr>
            <w:top w:val="none" w:sz="0" w:space="0" w:color="auto"/>
            <w:left w:val="none" w:sz="0" w:space="0" w:color="auto"/>
            <w:bottom w:val="none" w:sz="0" w:space="0" w:color="auto"/>
            <w:right w:val="none" w:sz="0" w:space="0" w:color="auto"/>
          </w:divBdr>
        </w:div>
        <w:div w:id="1986005767">
          <w:marLeft w:val="0"/>
          <w:marRight w:val="0"/>
          <w:marTop w:val="0"/>
          <w:marBottom w:val="0"/>
          <w:divBdr>
            <w:top w:val="none" w:sz="0" w:space="0" w:color="auto"/>
            <w:left w:val="none" w:sz="0" w:space="0" w:color="auto"/>
            <w:bottom w:val="none" w:sz="0" w:space="0" w:color="auto"/>
            <w:right w:val="none" w:sz="0" w:space="0" w:color="auto"/>
          </w:divBdr>
        </w:div>
        <w:div w:id="379135130">
          <w:marLeft w:val="0"/>
          <w:marRight w:val="0"/>
          <w:marTop w:val="0"/>
          <w:marBottom w:val="0"/>
          <w:divBdr>
            <w:top w:val="none" w:sz="0" w:space="0" w:color="auto"/>
            <w:left w:val="none" w:sz="0" w:space="0" w:color="auto"/>
            <w:bottom w:val="none" w:sz="0" w:space="0" w:color="auto"/>
            <w:right w:val="none" w:sz="0" w:space="0" w:color="auto"/>
          </w:divBdr>
        </w:div>
      </w:divsChild>
    </w:div>
    <w:div w:id="1274359076">
      <w:bodyDiv w:val="1"/>
      <w:marLeft w:val="0"/>
      <w:marRight w:val="0"/>
      <w:marTop w:val="0"/>
      <w:marBottom w:val="0"/>
      <w:divBdr>
        <w:top w:val="none" w:sz="0" w:space="0" w:color="auto"/>
        <w:left w:val="none" w:sz="0" w:space="0" w:color="auto"/>
        <w:bottom w:val="none" w:sz="0" w:space="0" w:color="auto"/>
        <w:right w:val="none" w:sz="0" w:space="0" w:color="auto"/>
      </w:divBdr>
    </w:div>
    <w:div w:id="1287661195">
      <w:bodyDiv w:val="1"/>
      <w:marLeft w:val="0"/>
      <w:marRight w:val="0"/>
      <w:marTop w:val="0"/>
      <w:marBottom w:val="0"/>
      <w:divBdr>
        <w:top w:val="none" w:sz="0" w:space="0" w:color="auto"/>
        <w:left w:val="none" w:sz="0" w:space="0" w:color="auto"/>
        <w:bottom w:val="none" w:sz="0" w:space="0" w:color="auto"/>
        <w:right w:val="none" w:sz="0" w:space="0" w:color="auto"/>
      </w:divBdr>
    </w:div>
    <w:div w:id="1317421194">
      <w:bodyDiv w:val="1"/>
      <w:marLeft w:val="0"/>
      <w:marRight w:val="0"/>
      <w:marTop w:val="0"/>
      <w:marBottom w:val="0"/>
      <w:divBdr>
        <w:top w:val="none" w:sz="0" w:space="0" w:color="auto"/>
        <w:left w:val="none" w:sz="0" w:space="0" w:color="auto"/>
        <w:bottom w:val="none" w:sz="0" w:space="0" w:color="auto"/>
        <w:right w:val="none" w:sz="0" w:space="0" w:color="auto"/>
      </w:divBdr>
    </w:div>
    <w:div w:id="1358118527">
      <w:bodyDiv w:val="1"/>
      <w:marLeft w:val="0"/>
      <w:marRight w:val="0"/>
      <w:marTop w:val="0"/>
      <w:marBottom w:val="0"/>
      <w:divBdr>
        <w:top w:val="none" w:sz="0" w:space="0" w:color="auto"/>
        <w:left w:val="none" w:sz="0" w:space="0" w:color="auto"/>
        <w:bottom w:val="none" w:sz="0" w:space="0" w:color="auto"/>
        <w:right w:val="none" w:sz="0" w:space="0" w:color="auto"/>
      </w:divBdr>
    </w:div>
    <w:div w:id="1388383951">
      <w:bodyDiv w:val="1"/>
      <w:marLeft w:val="0"/>
      <w:marRight w:val="0"/>
      <w:marTop w:val="0"/>
      <w:marBottom w:val="0"/>
      <w:divBdr>
        <w:top w:val="none" w:sz="0" w:space="0" w:color="auto"/>
        <w:left w:val="none" w:sz="0" w:space="0" w:color="auto"/>
        <w:bottom w:val="none" w:sz="0" w:space="0" w:color="auto"/>
        <w:right w:val="none" w:sz="0" w:space="0" w:color="auto"/>
      </w:divBdr>
    </w:div>
    <w:div w:id="1395734662">
      <w:bodyDiv w:val="1"/>
      <w:marLeft w:val="0"/>
      <w:marRight w:val="0"/>
      <w:marTop w:val="0"/>
      <w:marBottom w:val="0"/>
      <w:divBdr>
        <w:top w:val="none" w:sz="0" w:space="0" w:color="auto"/>
        <w:left w:val="none" w:sz="0" w:space="0" w:color="auto"/>
        <w:bottom w:val="none" w:sz="0" w:space="0" w:color="auto"/>
        <w:right w:val="none" w:sz="0" w:space="0" w:color="auto"/>
      </w:divBdr>
      <w:divsChild>
        <w:div w:id="840200812">
          <w:marLeft w:val="0"/>
          <w:marRight w:val="0"/>
          <w:marTop w:val="0"/>
          <w:marBottom w:val="0"/>
          <w:divBdr>
            <w:top w:val="none" w:sz="0" w:space="0" w:color="auto"/>
            <w:left w:val="none" w:sz="0" w:space="0" w:color="auto"/>
            <w:bottom w:val="none" w:sz="0" w:space="0" w:color="auto"/>
            <w:right w:val="none" w:sz="0" w:space="0" w:color="auto"/>
          </w:divBdr>
          <w:divsChild>
            <w:div w:id="1069303200">
              <w:marLeft w:val="0"/>
              <w:marRight w:val="0"/>
              <w:marTop w:val="0"/>
              <w:marBottom w:val="0"/>
              <w:divBdr>
                <w:top w:val="none" w:sz="0" w:space="0" w:color="auto"/>
                <w:left w:val="none" w:sz="0" w:space="0" w:color="auto"/>
                <w:bottom w:val="none" w:sz="0" w:space="0" w:color="auto"/>
                <w:right w:val="none" w:sz="0" w:space="0" w:color="auto"/>
              </w:divBdr>
              <w:divsChild>
                <w:div w:id="1301225112">
                  <w:marLeft w:val="0"/>
                  <w:marRight w:val="-6084"/>
                  <w:marTop w:val="0"/>
                  <w:marBottom w:val="0"/>
                  <w:divBdr>
                    <w:top w:val="none" w:sz="0" w:space="0" w:color="auto"/>
                    <w:left w:val="none" w:sz="0" w:space="0" w:color="auto"/>
                    <w:bottom w:val="none" w:sz="0" w:space="0" w:color="auto"/>
                    <w:right w:val="none" w:sz="0" w:space="0" w:color="auto"/>
                  </w:divBdr>
                  <w:divsChild>
                    <w:div w:id="763495483">
                      <w:marLeft w:val="0"/>
                      <w:marRight w:val="5604"/>
                      <w:marTop w:val="0"/>
                      <w:marBottom w:val="0"/>
                      <w:divBdr>
                        <w:top w:val="none" w:sz="0" w:space="0" w:color="auto"/>
                        <w:left w:val="none" w:sz="0" w:space="0" w:color="auto"/>
                        <w:bottom w:val="none" w:sz="0" w:space="0" w:color="auto"/>
                        <w:right w:val="none" w:sz="0" w:space="0" w:color="auto"/>
                      </w:divBdr>
                      <w:divsChild>
                        <w:div w:id="1128208794">
                          <w:marLeft w:val="0"/>
                          <w:marRight w:val="0"/>
                          <w:marTop w:val="0"/>
                          <w:marBottom w:val="0"/>
                          <w:divBdr>
                            <w:top w:val="none" w:sz="0" w:space="0" w:color="auto"/>
                            <w:left w:val="none" w:sz="0" w:space="0" w:color="auto"/>
                            <w:bottom w:val="none" w:sz="0" w:space="0" w:color="auto"/>
                            <w:right w:val="none" w:sz="0" w:space="0" w:color="auto"/>
                          </w:divBdr>
                          <w:divsChild>
                            <w:div w:id="1871411697">
                              <w:marLeft w:val="0"/>
                              <w:marRight w:val="0"/>
                              <w:marTop w:val="120"/>
                              <w:marBottom w:val="360"/>
                              <w:divBdr>
                                <w:top w:val="none" w:sz="0" w:space="0" w:color="auto"/>
                                <w:left w:val="none" w:sz="0" w:space="0" w:color="auto"/>
                                <w:bottom w:val="none" w:sz="0" w:space="0" w:color="auto"/>
                                <w:right w:val="none" w:sz="0" w:space="0" w:color="auto"/>
                              </w:divBdr>
                              <w:divsChild>
                                <w:div w:id="192853508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659930">
      <w:bodyDiv w:val="1"/>
      <w:marLeft w:val="0"/>
      <w:marRight w:val="0"/>
      <w:marTop w:val="0"/>
      <w:marBottom w:val="0"/>
      <w:divBdr>
        <w:top w:val="none" w:sz="0" w:space="0" w:color="auto"/>
        <w:left w:val="none" w:sz="0" w:space="0" w:color="auto"/>
        <w:bottom w:val="none" w:sz="0" w:space="0" w:color="auto"/>
        <w:right w:val="none" w:sz="0" w:space="0" w:color="auto"/>
      </w:divBdr>
      <w:divsChild>
        <w:div w:id="1316489887">
          <w:marLeft w:val="0"/>
          <w:marRight w:val="0"/>
          <w:marTop w:val="0"/>
          <w:marBottom w:val="0"/>
          <w:divBdr>
            <w:top w:val="none" w:sz="0" w:space="0" w:color="auto"/>
            <w:left w:val="none" w:sz="0" w:space="0" w:color="auto"/>
            <w:bottom w:val="none" w:sz="0" w:space="0" w:color="auto"/>
            <w:right w:val="none" w:sz="0" w:space="0" w:color="auto"/>
          </w:divBdr>
        </w:div>
        <w:div w:id="128791532">
          <w:marLeft w:val="0"/>
          <w:marRight w:val="0"/>
          <w:marTop w:val="0"/>
          <w:marBottom w:val="0"/>
          <w:divBdr>
            <w:top w:val="none" w:sz="0" w:space="0" w:color="auto"/>
            <w:left w:val="none" w:sz="0" w:space="0" w:color="auto"/>
            <w:bottom w:val="none" w:sz="0" w:space="0" w:color="auto"/>
            <w:right w:val="none" w:sz="0" w:space="0" w:color="auto"/>
          </w:divBdr>
        </w:div>
        <w:div w:id="1809283071">
          <w:marLeft w:val="0"/>
          <w:marRight w:val="0"/>
          <w:marTop w:val="0"/>
          <w:marBottom w:val="0"/>
          <w:divBdr>
            <w:top w:val="none" w:sz="0" w:space="0" w:color="auto"/>
            <w:left w:val="none" w:sz="0" w:space="0" w:color="auto"/>
            <w:bottom w:val="none" w:sz="0" w:space="0" w:color="auto"/>
            <w:right w:val="none" w:sz="0" w:space="0" w:color="auto"/>
          </w:divBdr>
        </w:div>
        <w:div w:id="472061925">
          <w:marLeft w:val="0"/>
          <w:marRight w:val="0"/>
          <w:marTop w:val="0"/>
          <w:marBottom w:val="0"/>
          <w:divBdr>
            <w:top w:val="none" w:sz="0" w:space="0" w:color="auto"/>
            <w:left w:val="none" w:sz="0" w:space="0" w:color="auto"/>
            <w:bottom w:val="none" w:sz="0" w:space="0" w:color="auto"/>
            <w:right w:val="none" w:sz="0" w:space="0" w:color="auto"/>
          </w:divBdr>
        </w:div>
        <w:div w:id="703600473">
          <w:marLeft w:val="0"/>
          <w:marRight w:val="0"/>
          <w:marTop w:val="0"/>
          <w:marBottom w:val="0"/>
          <w:divBdr>
            <w:top w:val="none" w:sz="0" w:space="0" w:color="auto"/>
            <w:left w:val="none" w:sz="0" w:space="0" w:color="auto"/>
            <w:bottom w:val="none" w:sz="0" w:space="0" w:color="auto"/>
            <w:right w:val="none" w:sz="0" w:space="0" w:color="auto"/>
          </w:divBdr>
        </w:div>
        <w:div w:id="934051236">
          <w:marLeft w:val="0"/>
          <w:marRight w:val="0"/>
          <w:marTop w:val="0"/>
          <w:marBottom w:val="0"/>
          <w:divBdr>
            <w:top w:val="none" w:sz="0" w:space="0" w:color="auto"/>
            <w:left w:val="none" w:sz="0" w:space="0" w:color="auto"/>
            <w:bottom w:val="none" w:sz="0" w:space="0" w:color="auto"/>
            <w:right w:val="none" w:sz="0" w:space="0" w:color="auto"/>
          </w:divBdr>
        </w:div>
        <w:div w:id="1024209343">
          <w:marLeft w:val="0"/>
          <w:marRight w:val="0"/>
          <w:marTop w:val="0"/>
          <w:marBottom w:val="0"/>
          <w:divBdr>
            <w:top w:val="none" w:sz="0" w:space="0" w:color="auto"/>
            <w:left w:val="none" w:sz="0" w:space="0" w:color="auto"/>
            <w:bottom w:val="none" w:sz="0" w:space="0" w:color="auto"/>
            <w:right w:val="none" w:sz="0" w:space="0" w:color="auto"/>
          </w:divBdr>
        </w:div>
        <w:div w:id="239943978">
          <w:marLeft w:val="0"/>
          <w:marRight w:val="0"/>
          <w:marTop w:val="0"/>
          <w:marBottom w:val="0"/>
          <w:divBdr>
            <w:top w:val="none" w:sz="0" w:space="0" w:color="auto"/>
            <w:left w:val="none" w:sz="0" w:space="0" w:color="auto"/>
            <w:bottom w:val="none" w:sz="0" w:space="0" w:color="auto"/>
            <w:right w:val="none" w:sz="0" w:space="0" w:color="auto"/>
          </w:divBdr>
        </w:div>
        <w:div w:id="2130707147">
          <w:marLeft w:val="0"/>
          <w:marRight w:val="0"/>
          <w:marTop w:val="0"/>
          <w:marBottom w:val="0"/>
          <w:divBdr>
            <w:top w:val="none" w:sz="0" w:space="0" w:color="auto"/>
            <w:left w:val="none" w:sz="0" w:space="0" w:color="auto"/>
            <w:bottom w:val="none" w:sz="0" w:space="0" w:color="auto"/>
            <w:right w:val="none" w:sz="0" w:space="0" w:color="auto"/>
          </w:divBdr>
        </w:div>
        <w:div w:id="551622789">
          <w:marLeft w:val="0"/>
          <w:marRight w:val="0"/>
          <w:marTop w:val="0"/>
          <w:marBottom w:val="0"/>
          <w:divBdr>
            <w:top w:val="none" w:sz="0" w:space="0" w:color="auto"/>
            <w:left w:val="none" w:sz="0" w:space="0" w:color="auto"/>
            <w:bottom w:val="none" w:sz="0" w:space="0" w:color="auto"/>
            <w:right w:val="none" w:sz="0" w:space="0" w:color="auto"/>
          </w:divBdr>
        </w:div>
        <w:div w:id="789713153">
          <w:marLeft w:val="0"/>
          <w:marRight w:val="0"/>
          <w:marTop w:val="0"/>
          <w:marBottom w:val="0"/>
          <w:divBdr>
            <w:top w:val="none" w:sz="0" w:space="0" w:color="auto"/>
            <w:left w:val="none" w:sz="0" w:space="0" w:color="auto"/>
            <w:bottom w:val="none" w:sz="0" w:space="0" w:color="auto"/>
            <w:right w:val="none" w:sz="0" w:space="0" w:color="auto"/>
          </w:divBdr>
        </w:div>
        <w:div w:id="1769882206">
          <w:marLeft w:val="0"/>
          <w:marRight w:val="0"/>
          <w:marTop w:val="0"/>
          <w:marBottom w:val="0"/>
          <w:divBdr>
            <w:top w:val="none" w:sz="0" w:space="0" w:color="auto"/>
            <w:left w:val="none" w:sz="0" w:space="0" w:color="auto"/>
            <w:bottom w:val="none" w:sz="0" w:space="0" w:color="auto"/>
            <w:right w:val="none" w:sz="0" w:space="0" w:color="auto"/>
          </w:divBdr>
        </w:div>
        <w:div w:id="420880123">
          <w:marLeft w:val="0"/>
          <w:marRight w:val="0"/>
          <w:marTop w:val="0"/>
          <w:marBottom w:val="0"/>
          <w:divBdr>
            <w:top w:val="none" w:sz="0" w:space="0" w:color="auto"/>
            <w:left w:val="none" w:sz="0" w:space="0" w:color="auto"/>
            <w:bottom w:val="none" w:sz="0" w:space="0" w:color="auto"/>
            <w:right w:val="none" w:sz="0" w:space="0" w:color="auto"/>
          </w:divBdr>
        </w:div>
        <w:div w:id="414715523">
          <w:marLeft w:val="0"/>
          <w:marRight w:val="0"/>
          <w:marTop w:val="0"/>
          <w:marBottom w:val="0"/>
          <w:divBdr>
            <w:top w:val="none" w:sz="0" w:space="0" w:color="auto"/>
            <w:left w:val="none" w:sz="0" w:space="0" w:color="auto"/>
            <w:bottom w:val="none" w:sz="0" w:space="0" w:color="auto"/>
            <w:right w:val="none" w:sz="0" w:space="0" w:color="auto"/>
          </w:divBdr>
        </w:div>
      </w:divsChild>
    </w:div>
    <w:div w:id="1401489314">
      <w:bodyDiv w:val="1"/>
      <w:marLeft w:val="0"/>
      <w:marRight w:val="0"/>
      <w:marTop w:val="0"/>
      <w:marBottom w:val="0"/>
      <w:divBdr>
        <w:top w:val="none" w:sz="0" w:space="0" w:color="auto"/>
        <w:left w:val="none" w:sz="0" w:space="0" w:color="auto"/>
        <w:bottom w:val="none" w:sz="0" w:space="0" w:color="auto"/>
        <w:right w:val="none" w:sz="0" w:space="0" w:color="auto"/>
      </w:divBdr>
    </w:div>
    <w:div w:id="1419134247">
      <w:bodyDiv w:val="1"/>
      <w:marLeft w:val="0"/>
      <w:marRight w:val="0"/>
      <w:marTop w:val="0"/>
      <w:marBottom w:val="0"/>
      <w:divBdr>
        <w:top w:val="none" w:sz="0" w:space="0" w:color="auto"/>
        <w:left w:val="none" w:sz="0" w:space="0" w:color="auto"/>
        <w:bottom w:val="none" w:sz="0" w:space="0" w:color="auto"/>
        <w:right w:val="none" w:sz="0" w:space="0" w:color="auto"/>
      </w:divBdr>
      <w:divsChild>
        <w:div w:id="78407149">
          <w:marLeft w:val="0"/>
          <w:marRight w:val="0"/>
          <w:marTop w:val="0"/>
          <w:marBottom w:val="0"/>
          <w:divBdr>
            <w:top w:val="none" w:sz="0" w:space="0" w:color="auto"/>
            <w:left w:val="none" w:sz="0" w:space="0" w:color="auto"/>
            <w:bottom w:val="none" w:sz="0" w:space="0" w:color="auto"/>
            <w:right w:val="none" w:sz="0" w:space="0" w:color="auto"/>
          </w:divBdr>
          <w:divsChild>
            <w:div w:id="764888226">
              <w:marLeft w:val="0"/>
              <w:marRight w:val="0"/>
              <w:marTop w:val="0"/>
              <w:marBottom w:val="0"/>
              <w:divBdr>
                <w:top w:val="none" w:sz="0" w:space="0" w:color="auto"/>
                <w:left w:val="none" w:sz="0" w:space="0" w:color="auto"/>
                <w:bottom w:val="none" w:sz="0" w:space="0" w:color="auto"/>
                <w:right w:val="none" w:sz="0" w:space="0" w:color="auto"/>
              </w:divBdr>
              <w:divsChild>
                <w:div w:id="1307082221">
                  <w:marLeft w:val="0"/>
                  <w:marRight w:val="-6084"/>
                  <w:marTop w:val="0"/>
                  <w:marBottom w:val="0"/>
                  <w:divBdr>
                    <w:top w:val="none" w:sz="0" w:space="0" w:color="auto"/>
                    <w:left w:val="none" w:sz="0" w:space="0" w:color="auto"/>
                    <w:bottom w:val="none" w:sz="0" w:space="0" w:color="auto"/>
                    <w:right w:val="none" w:sz="0" w:space="0" w:color="auto"/>
                  </w:divBdr>
                  <w:divsChild>
                    <w:div w:id="1787232381">
                      <w:marLeft w:val="0"/>
                      <w:marRight w:val="5604"/>
                      <w:marTop w:val="0"/>
                      <w:marBottom w:val="0"/>
                      <w:divBdr>
                        <w:top w:val="none" w:sz="0" w:space="0" w:color="auto"/>
                        <w:left w:val="none" w:sz="0" w:space="0" w:color="auto"/>
                        <w:bottom w:val="none" w:sz="0" w:space="0" w:color="auto"/>
                        <w:right w:val="none" w:sz="0" w:space="0" w:color="auto"/>
                      </w:divBdr>
                      <w:divsChild>
                        <w:div w:id="374306727">
                          <w:marLeft w:val="0"/>
                          <w:marRight w:val="0"/>
                          <w:marTop w:val="0"/>
                          <w:marBottom w:val="0"/>
                          <w:divBdr>
                            <w:top w:val="none" w:sz="0" w:space="0" w:color="auto"/>
                            <w:left w:val="none" w:sz="0" w:space="0" w:color="auto"/>
                            <w:bottom w:val="none" w:sz="0" w:space="0" w:color="auto"/>
                            <w:right w:val="none" w:sz="0" w:space="0" w:color="auto"/>
                          </w:divBdr>
                          <w:divsChild>
                            <w:div w:id="1630890355">
                              <w:marLeft w:val="0"/>
                              <w:marRight w:val="0"/>
                              <w:marTop w:val="120"/>
                              <w:marBottom w:val="360"/>
                              <w:divBdr>
                                <w:top w:val="none" w:sz="0" w:space="0" w:color="auto"/>
                                <w:left w:val="none" w:sz="0" w:space="0" w:color="auto"/>
                                <w:bottom w:val="none" w:sz="0" w:space="0" w:color="auto"/>
                                <w:right w:val="none" w:sz="0" w:space="0" w:color="auto"/>
                              </w:divBdr>
                              <w:divsChild>
                                <w:div w:id="80176850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58131">
      <w:bodyDiv w:val="1"/>
      <w:marLeft w:val="0"/>
      <w:marRight w:val="0"/>
      <w:marTop w:val="0"/>
      <w:marBottom w:val="0"/>
      <w:divBdr>
        <w:top w:val="none" w:sz="0" w:space="0" w:color="auto"/>
        <w:left w:val="none" w:sz="0" w:space="0" w:color="auto"/>
        <w:bottom w:val="none" w:sz="0" w:space="0" w:color="auto"/>
        <w:right w:val="none" w:sz="0" w:space="0" w:color="auto"/>
      </w:divBdr>
    </w:div>
    <w:div w:id="1475218774">
      <w:bodyDiv w:val="1"/>
      <w:marLeft w:val="0"/>
      <w:marRight w:val="0"/>
      <w:marTop w:val="0"/>
      <w:marBottom w:val="0"/>
      <w:divBdr>
        <w:top w:val="none" w:sz="0" w:space="0" w:color="auto"/>
        <w:left w:val="none" w:sz="0" w:space="0" w:color="auto"/>
        <w:bottom w:val="none" w:sz="0" w:space="0" w:color="auto"/>
        <w:right w:val="none" w:sz="0" w:space="0" w:color="auto"/>
      </w:divBdr>
      <w:divsChild>
        <w:div w:id="1644893416">
          <w:marLeft w:val="0"/>
          <w:marRight w:val="0"/>
          <w:marTop w:val="0"/>
          <w:marBottom w:val="0"/>
          <w:divBdr>
            <w:top w:val="none" w:sz="0" w:space="0" w:color="auto"/>
            <w:left w:val="none" w:sz="0" w:space="0" w:color="auto"/>
            <w:bottom w:val="none" w:sz="0" w:space="0" w:color="auto"/>
            <w:right w:val="none" w:sz="0" w:space="0" w:color="auto"/>
          </w:divBdr>
        </w:div>
        <w:div w:id="73087323">
          <w:marLeft w:val="0"/>
          <w:marRight w:val="0"/>
          <w:marTop w:val="0"/>
          <w:marBottom w:val="0"/>
          <w:divBdr>
            <w:top w:val="none" w:sz="0" w:space="0" w:color="auto"/>
            <w:left w:val="none" w:sz="0" w:space="0" w:color="auto"/>
            <w:bottom w:val="none" w:sz="0" w:space="0" w:color="auto"/>
            <w:right w:val="none" w:sz="0" w:space="0" w:color="auto"/>
          </w:divBdr>
        </w:div>
        <w:div w:id="2046824894">
          <w:marLeft w:val="0"/>
          <w:marRight w:val="0"/>
          <w:marTop w:val="0"/>
          <w:marBottom w:val="0"/>
          <w:divBdr>
            <w:top w:val="none" w:sz="0" w:space="0" w:color="auto"/>
            <w:left w:val="none" w:sz="0" w:space="0" w:color="auto"/>
            <w:bottom w:val="none" w:sz="0" w:space="0" w:color="auto"/>
            <w:right w:val="none" w:sz="0" w:space="0" w:color="auto"/>
          </w:divBdr>
        </w:div>
        <w:div w:id="967125148">
          <w:marLeft w:val="0"/>
          <w:marRight w:val="0"/>
          <w:marTop w:val="0"/>
          <w:marBottom w:val="0"/>
          <w:divBdr>
            <w:top w:val="none" w:sz="0" w:space="0" w:color="auto"/>
            <w:left w:val="none" w:sz="0" w:space="0" w:color="auto"/>
            <w:bottom w:val="none" w:sz="0" w:space="0" w:color="auto"/>
            <w:right w:val="none" w:sz="0" w:space="0" w:color="auto"/>
          </w:divBdr>
        </w:div>
        <w:div w:id="1777749789">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974097322">
          <w:marLeft w:val="0"/>
          <w:marRight w:val="0"/>
          <w:marTop w:val="0"/>
          <w:marBottom w:val="0"/>
          <w:divBdr>
            <w:top w:val="none" w:sz="0" w:space="0" w:color="auto"/>
            <w:left w:val="none" w:sz="0" w:space="0" w:color="auto"/>
            <w:bottom w:val="none" w:sz="0" w:space="0" w:color="auto"/>
            <w:right w:val="none" w:sz="0" w:space="0" w:color="auto"/>
          </w:divBdr>
        </w:div>
        <w:div w:id="1919897454">
          <w:marLeft w:val="0"/>
          <w:marRight w:val="0"/>
          <w:marTop w:val="0"/>
          <w:marBottom w:val="0"/>
          <w:divBdr>
            <w:top w:val="none" w:sz="0" w:space="0" w:color="auto"/>
            <w:left w:val="none" w:sz="0" w:space="0" w:color="auto"/>
            <w:bottom w:val="none" w:sz="0" w:space="0" w:color="auto"/>
            <w:right w:val="none" w:sz="0" w:space="0" w:color="auto"/>
          </w:divBdr>
        </w:div>
        <w:div w:id="1448045645">
          <w:marLeft w:val="0"/>
          <w:marRight w:val="0"/>
          <w:marTop w:val="0"/>
          <w:marBottom w:val="0"/>
          <w:divBdr>
            <w:top w:val="none" w:sz="0" w:space="0" w:color="auto"/>
            <w:left w:val="none" w:sz="0" w:space="0" w:color="auto"/>
            <w:bottom w:val="none" w:sz="0" w:space="0" w:color="auto"/>
            <w:right w:val="none" w:sz="0" w:space="0" w:color="auto"/>
          </w:divBdr>
        </w:div>
        <w:div w:id="1920753433">
          <w:marLeft w:val="0"/>
          <w:marRight w:val="0"/>
          <w:marTop w:val="0"/>
          <w:marBottom w:val="0"/>
          <w:divBdr>
            <w:top w:val="none" w:sz="0" w:space="0" w:color="auto"/>
            <w:left w:val="none" w:sz="0" w:space="0" w:color="auto"/>
            <w:bottom w:val="none" w:sz="0" w:space="0" w:color="auto"/>
            <w:right w:val="none" w:sz="0" w:space="0" w:color="auto"/>
          </w:divBdr>
        </w:div>
        <w:div w:id="1600940841">
          <w:marLeft w:val="0"/>
          <w:marRight w:val="0"/>
          <w:marTop w:val="0"/>
          <w:marBottom w:val="0"/>
          <w:divBdr>
            <w:top w:val="none" w:sz="0" w:space="0" w:color="auto"/>
            <w:left w:val="none" w:sz="0" w:space="0" w:color="auto"/>
            <w:bottom w:val="none" w:sz="0" w:space="0" w:color="auto"/>
            <w:right w:val="none" w:sz="0" w:space="0" w:color="auto"/>
          </w:divBdr>
        </w:div>
        <w:div w:id="895967527">
          <w:marLeft w:val="0"/>
          <w:marRight w:val="0"/>
          <w:marTop w:val="0"/>
          <w:marBottom w:val="0"/>
          <w:divBdr>
            <w:top w:val="none" w:sz="0" w:space="0" w:color="auto"/>
            <w:left w:val="none" w:sz="0" w:space="0" w:color="auto"/>
            <w:bottom w:val="none" w:sz="0" w:space="0" w:color="auto"/>
            <w:right w:val="none" w:sz="0" w:space="0" w:color="auto"/>
          </w:divBdr>
        </w:div>
        <w:div w:id="1060249660">
          <w:marLeft w:val="0"/>
          <w:marRight w:val="0"/>
          <w:marTop w:val="0"/>
          <w:marBottom w:val="0"/>
          <w:divBdr>
            <w:top w:val="none" w:sz="0" w:space="0" w:color="auto"/>
            <w:left w:val="none" w:sz="0" w:space="0" w:color="auto"/>
            <w:bottom w:val="none" w:sz="0" w:space="0" w:color="auto"/>
            <w:right w:val="none" w:sz="0" w:space="0" w:color="auto"/>
          </w:divBdr>
        </w:div>
        <w:div w:id="1051073580">
          <w:marLeft w:val="0"/>
          <w:marRight w:val="0"/>
          <w:marTop w:val="0"/>
          <w:marBottom w:val="0"/>
          <w:divBdr>
            <w:top w:val="none" w:sz="0" w:space="0" w:color="auto"/>
            <w:left w:val="none" w:sz="0" w:space="0" w:color="auto"/>
            <w:bottom w:val="none" w:sz="0" w:space="0" w:color="auto"/>
            <w:right w:val="none" w:sz="0" w:space="0" w:color="auto"/>
          </w:divBdr>
        </w:div>
        <w:div w:id="1387408629">
          <w:marLeft w:val="0"/>
          <w:marRight w:val="0"/>
          <w:marTop w:val="0"/>
          <w:marBottom w:val="0"/>
          <w:divBdr>
            <w:top w:val="none" w:sz="0" w:space="0" w:color="auto"/>
            <w:left w:val="none" w:sz="0" w:space="0" w:color="auto"/>
            <w:bottom w:val="none" w:sz="0" w:space="0" w:color="auto"/>
            <w:right w:val="none" w:sz="0" w:space="0" w:color="auto"/>
          </w:divBdr>
        </w:div>
        <w:div w:id="1265380204">
          <w:marLeft w:val="0"/>
          <w:marRight w:val="0"/>
          <w:marTop w:val="0"/>
          <w:marBottom w:val="0"/>
          <w:divBdr>
            <w:top w:val="none" w:sz="0" w:space="0" w:color="auto"/>
            <w:left w:val="none" w:sz="0" w:space="0" w:color="auto"/>
            <w:bottom w:val="none" w:sz="0" w:space="0" w:color="auto"/>
            <w:right w:val="none" w:sz="0" w:space="0" w:color="auto"/>
          </w:divBdr>
        </w:div>
        <w:div w:id="1941913974">
          <w:marLeft w:val="0"/>
          <w:marRight w:val="0"/>
          <w:marTop w:val="0"/>
          <w:marBottom w:val="0"/>
          <w:divBdr>
            <w:top w:val="none" w:sz="0" w:space="0" w:color="auto"/>
            <w:left w:val="none" w:sz="0" w:space="0" w:color="auto"/>
            <w:bottom w:val="none" w:sz="0" w:space="0" w:color="auto"/>
            <w:right w:val="none" w:sz="0" w:space="0" w:color="auto"/>
          </w:divBdr>
        </w:div>
        <w:div w:id="1817987314">
          <w:marLeft w:val="0"/>
          <w:marRight w:val="0"/>
          <w:marTop w:val="0"/>
          <w:marBottom w:val="0"/>
          <w:divBdr>
            <w:top w:val="none" w:sz="0" w:space="0" w:color="auto"/>
            <w:left w:val="none" w:sz="0" w:space="0" w:color="auto"/>
            <w:bottom w:val="none" w:sz="0" w:space="0" w:color="auto"/>
            <w:right w:val="none" w:sz="0" w:space="0" w:color="auto"/>
          </w:divBdr>
        </w:div>
        <w:div w:id="2090812492">
          <w:marLeft w:val="0"/>
          <w:marRight w:val="0"/>
          <w:marTop w:val="0"/>
          <w:marBottom w:val="0"/>
          <w:divBdr>
            <w:top w:val="none" w:sz="0" w:space="0" w:color="auto"/>
            <w:left w:val="none" w:sz="0" w:space="0" w:color="auto"/>
            <w:bottom w:val="none" w:sz="0" w:space="0" w:color="auto"/>
            <w:right w:val="none" w:sz="0" w:space="0" w:color="auto"/>
          </w:divBdr>
        </w:div>
        <w:div w:id="684097347">
          <w:marLeft w:val="0"/>
          <w:marRight w:val="0"/>
          <w:marTop w:val="0"/>
          <w:marBottom w:val="0"/>
          <w:divBdr>
            <w:top w:val="none" w:sz="0" w:space="0" w:color="auto"/>
            <w:left w:val="none" w:sz="0" w:space="0" w:color="auto"/>
            <w:bottom w:val="none" w:sz="0" w:space="0" w:color="auto"/>
            <w:right w:val="none" w:sz="0" w:space="0" w:color="auto"/>
          </w:divBdr>
        </w:div>
        <w:div w:id="1655141738">
          <w:marLeft w:val="0"/>
          <w:marRight w:val="0"/>
          <w:marTop w:val="0"/>
          <w:marBottom w:val="0"/>
          <w:divBdr>
            <w:top w:val="none" w:sz="0" w:space="0" w:color="auto"/>
            <w:left w:val="none" w:sz="0" w:space="0" w:color="auto"/>
            <w:bottom w:val="none" w:sz="0" w:space="0" w:color="auto"/>
            <w:right w:val="none" w:sz="0" w:space="0" w:color="auto"/>
          </w:divBdr>
        </w:div>
        <w:div w:id="394665831">
          <w:marLeft w:val="0"/>
          <w:marRight w:val="0"/>
          <w:marTop w:val="0"/>
          <w:marBottom w:val="0"/>
          <w:divBdr>
            <w:top w:val="none" w:sz="0" w:space="0" w:color="auto"/>
            <w:left w:val="none" w:sz="0" w:space="0" w:color="auto"/>
            <w:bottom w:val="none" w:sz="0" w:space="0" w:color="auto"/>
            <w:right w:val="none" w:sz="0" w:space="0" w:color="auto"/>
          </w:divBdr>
        </w:div>
        <w:div w:id="959728919">
          <w:marLeft w:val="0"/>
          <w:marRight w:val="0"/>
          <w:marTop w:val="0"/>
          <w:marBottom w:val="0"/>
          <w:divBdr>
            <w:top w:val="none" w:sz="0" w:space="0" w:color="auto"/>
            <w:left w:val="none" w:sz="0" w:space="0" w:color="auto"/>
            <w:bottom w:val="none" w:sz="0" w:space="0" w:color="auto"/>
            <w:right w:val="none" w:sz="0" w:space="0" w:color="auto"/>
          </w:divBdr>
        </w:div>
        <w:div w:id="233200841">
          <w:marLeft w:val="0"/>
          <w:marRight w:val="0"/>
          <w:marTop w:val="0"/>
          <w:marBottom w:val="0"/>
          <w:divBdr>
            <w:top w:val="none" w:sz="0" w:space="0" w:color="auto"/>
            <w:left w:val="none" w:sz="0" w:space="0" w:color="auto"/>
            <w:bottom w:val="none" w:sz="0" w:space="0" w:color="auto"/>
            <w:right w:val="none" w:sz="0" w:space="0" w:color="auto"/>
          </w:divBdr>
        </w:div>
        <w:div w:id="964238020">
          <w:marLeft w:val="0"/>
          <w:marRight w:val="0"/>
          <w:marTop w:val="0"/>
          <w:marBottom w:val="0"/>
          <w:divBdr>
            <w:top w:val="none" w:sz="0" w:space="0" w:color="auto"/>
            <w:left w:val="none" w:sz="0" w:space="0" w:color="auto"/>
            <w:bottom w:val="none" w:sz="0" w:space="0" w:color="auto"/>
            <w:right w:val="none" w:sz="0" w:space="0" w:color="auto"/>
          </w:divBdr>
        </w:div>
        <w:div w:id="1581522958">
          <w:marLeft w:val="0"/>
          <w:marRight w:val="0"/>
          <w:marTop w:val="0"/>
          <w:marBottom w:val="0"/>
          <w:divBdr>
            <w:top w:val="none" w:sz="0" w:space="0" w:color="auto"/>
            <w:left w:val="none" w:sz="0" w:space="0" w:color="auto"/>
            <w:bottom w:val="none" w:sz="0" w:space="0" w:color="auto"/>
            <w:right w:val="none" w:sz="0" w:space="0" w:color="auto"/>
          </w:divBdr>
        </w:div>
        <w:div w:id="1375501069">
          <w:marLeft w:val="0"/>
          <w:marRight w:val="0"/>
          <w:marTop w:val="0"/>
          <w:marBottom w:val="0"/>
          <w:divBdr>
            <w:top w:val="none" w:sz="0" w:space="0" w:color="auto"/>
            <w:left w:val="none" w:sz="0" w:space="0" w:color="auto"/>
            <w:bottom w:val="none" w:sz="0" w:space="0" w:color="auto"/>
            <w:right w:val="none" w:sz="0" w:space="0" w:color="auto"/>
          </w:divBdr>
        </w:div>
        <w:div w:id="1583488781">
          <w:marLeft w:val="0"/>
          <w:marRight w:val="0"/>
          <w:marTop w:val="0"/>
          <w:marBottom w:val="0"/>
          <w:divBdr>
            <w:top w:val="none" w:sz="0" w:space="0" w:color="auto"/>
            <w:left w:val="none" w:sz="0" w:space="0" w:color="auto"/>
            <w:bottom w:val="none" w:sz="0" w:space="0" w:color="auto"/>
            <w:right w:val="none" w:sz="0" w:space="0" w:color="auto"/>
          </w:divBdr>
        </w:div>
      </w:divsChild>
    </w:div>
    <w:div w:id="1511263267">
      <w:bodyDiv w:val="1"/>
      <w:marLeft w:val="0"/>
      <w:marRight w:val="0"/>
      <w:marTop w:val="0"/>
      <w:marBottom w:val="0"/>
      <w:divBdr>
        <w:top w:val="none" w:sz="0" w:space="0" w:color="auto"/>
        <w:left w:val="none" w:sz="0" w:space="0" w:color="auto"/>
        <w:bottom w:val="none" w:sz="0" w:space="0" w:color="auto"/>
        <w:right w:val="none" w:sz="0" w:space="0" w:color="auto"/>
      </w:divBdr>
    </w:div>
    <w:div w:id="1556311447">
      <w:bodyDiv w:val="1"/>
      <w:marLeft w:val="0"/>
      <w:marRight w:val="0"/>
      <w:marTop w:val="0"/>
      <w:marBottom w:val="0"/>
      <w:divBdr>
        <w:top w:val="none" w:sz="0" w:space="0" w:color="auto"/>
        <w:left w:val="none" w:sz="0" w:space="0" w:color="auto"/>
        <w:bottom w:val="none" w:sz="0" w:space="0" w:color="auto"/>
        <w:right w:val="none" w:sz="0" w:space="0" w:color="auto"/>
      </w:divBdr>
    </w:div>
    <w:div w:id="1566604195">
      <w:bodyDiv w:val="1"/>
      <w:marLeft w:val="0"/>
      <w:marRight w:val="0"/>
      <w:marTop w:val="0"/>
      <w:marBottom w:val="0"/>
      <w:divBdr>
        <w:top w:val="none" w:sz="0" w:space="0" w:color="auto"/>
        <w:left w:val="none" w:sz="0" w:space="0" w:color="auto"/>
        <w:bottom w:val="none" w:sz="0" w:space="0" w:color="auto"/>
        <w:right w:val="none" w:sz="0" w:space="0" w:color="auto"/>
      </w:divBdr>
    </w:div>
    <w:div w:id="1583953055">
      <w:bodyDiv w:val="1"/>
      <w:marLeft w:val="0"/>
      <w:marRight w:val="0"/>
      <w:marTop w:val="0"/>
      <w:marBottom w:val="0"/>
      <w:divBdr>
        <w:top w:val="none" w:sz="0" w:space="0" w:color="auto"/>
        <w:left w:val="none" w:sz="0" w:space="0" w:color="auto"/>
        <w:bottom w:val="none" w:sz="0" w:space="0" w:color="auto"/>
        <w:right w:val="none" w:sz="0" w:space="0" w:color="auto"/>
      </w:divBdr>
    </w:div>
    <w:div w:id="1593079628">
      <w:bodyDiv w:val="1"/>
      <w:marLeft w:val="0"/>
      <w:marRight w:val="0"/>
      <w:marTop w:val="0"/>
      <w:marBottom w:val="0"/>
      <w:divBdr>
        <w:top w:val="none" w:sz="0" w:space="0" w:color="auto"/>
        <w:left w:val="none" w:sz="0" w:space="0" w:color="auto"/>
        <w:bottom w:val="none" w:sz="0" w:space="0" w:color="auto"/>
        <w:right w:val="none" w:sz="0" w:space="0" w:color="auto"/>
      </w:divBdr>
    </w:div>
    <w:div w:id="1618558430">
      <w:bodyDiv w:val="1"/>
      <w:marLeft w:val="0"/>
      <w:marRight w:val="0"/>
      <w:marTop w:val="0"/>
      <w:marBottom w:val="0"/>
      <w:divBdr>
        <w:top w:val="none" w:sz="0" w:space="0" w:color="auto"/>
        <w:left w:val="none" w:sz="0" w:space="0" w:color="auto"/>
        <w:bottom w:val="none" w:sz="0" w:space="0" w:color="auto"/>
        <w:right w:val="none" w:sz="0" w:space="0" w:color="auto"/>
      </w:divBdr>
    </w:div>
    <w:div w:id="1636914586">
      <w:bodyDiv w:val="1"/>
      <w:marLeft w:val="0"/>
      <w:marRight w:val="0"/>
      <w:marTop w:val="0"/>
      <w:marBottom w:val="0"/>
      <w:divBdr>
        <w:top w:val="none" w:sz="0" w:space="0" w:color="auto"/>
        <w:left w:val="none" w:sz="0" w:space="0" w:color="auto"/>
        <w:bottom w:val="none" w:sz="0" w:space="0" w:color="auto"/>
        <w:right w:val="none" w:sz="0" w:space="0" w:color="auto"/>
      </w:divBdr>
    </w:div>
    <w:div w:id="1645306436">
      <w:bodyDiv w:val="1"/>
      <w:marLeft w:val="0"/>
      <w:marRight w:val="0"/>
      <w:marTop w:val="0"/>
      <w:marBottom w:val="0"/>
      <w:divBdr>
        <w:top w:val="none" w:sz="0" w:space="0" w:color="auto"/>
        <w:left w:val="none" w:sz="0" w:space="0" w:color="auto"/>
        <w:bottom w:val="none" w:sz="0" w:space="0" w:color="auto"/>
        <w:right w:val="none" w:sz="0" w:space="0" w:color="auto"/>
      </w:divBdr>
    </w:div>
    <w:div w:id="1655909541">
      <w:bodyDiv w:val="1"/>
      <w:marLeft w:val="0"/>
      <w:marRight w:val="0"/>
      <w:marTop w:val="0"/>
      <w:marBottom w:val="0"/>
      <w:divBdr>
        <w:top w:val="none" w:sz="0" w:space="0" w:color="auto"/>
        <w:left w:val="none" w:sz="0" w:space="0" w:color="auto"/>
        <w:bottom w:val="none" w:sz="0" w:space="0" w:color="auto"/>
        <w:right w:val="none" w:sz="0" w:space="0" w:color="auto"/>
      </w:divBdr>
    </w:div>
    <w:div w:id="1706558967">
      <w:bodyDiv w:val="1"/>
      <w:marLeft w:val="0"/>
      <w:marRight w:val="0"/>
      <w:marTop w:val="0"/>
      <w:marBottom w:val="0"/>
      <w:divBdr>
        <w:top w:val="none" w:sz="0" w:space="0" w:color="auto"/>
        <w:left w:val="none" w:sz="0" w:space="0" w:color="auto"/>
        <w:bottom w:val="none" w:sz="0" w:space="0" w:color="auto"/>
        <w:right w:val="none" w:sz="0" w:space="0" w:color="auto"/>
      </w:divBdr>
    </w:div>
    <w:div w:id="1710101995">
      <w:bodyDiv w:val="1"/>
      <w:marLeft w:val="0"/>
      <w:marRight w:val="0"/>
      <w:marTop w:val="0"/>
      <w:marBottom w:val="0"/>
      <w:divBdr>
        <w:top w:val="none" w:sz="0" w:space="0" w:color="auto"/>
        <w:left w:val="none" w:sz="0" w:space="0" w:color="auto"/>
        <w:bottom w:val="none" w:sz="0" w:space="0" w:color="auto"/>
        <w:right w:val="none" w:sz="0" w:space="0" w:color="auto"/>
      </w:divBdr>
    </w:div>
    <w:div w:id="1729917444">
      <w:bodyDiv w:val="1"/>
      <w:marLeft w:val="0"/>
      <w:marRight w:val="0"/>
      <w:marTop w:val="0"/>
      <w:marBottom w:val="0"/>
      <w:divBdr>
        <w:top w:val="none" w:sz="0" w:space="0" w:color="auto"/>
        <w:left w:val="none" w:sz="0" w:space="0" w:color="auto"/>
        <w:bottom w:val="none" w:sz="0" w:space="0" w:color="auto"/>
        <w:right w:val="none" w:sz="0" w:space="0" w:color="auto"/>
      </w:divBdr>
    </w:div>
    <w:div w:id="1779137884">
      <w:bodyDiv w:val="1"/>
      <w:marLeft w:val="0"/>
      <w:marRight w:val="0"/>
      <w:marTop w:val="0"/>
      <w:marBottom w:val="0"/>
      <w:divBdr>
        <w:top w:val="none" w:sz="0" w:space="0" w:color="auto"/>
        <w:left w:val="none" w:sz="0" w:space="0" w:color="auto"/>
        <w:bottom w:val="none" w:sz="0" w:space="0" w:color="auto"/>
        <w:right w:val="none" w:sz="0" w:space="0" w:color="auto"/>
      </w:divBdr>
    </w:div>
    <w:div w:id="1802386463">
      <w:bodyDiv w:val="1"/>
      <w:marLeft w:val="0"/>
      <w:marRight w:val="0"/>
      <w:marTop w:val="0"/>
      <w:marBottom w:val="0"/>
      <w:divBdr>
        <w:top w:val="none" w:sz="0" w:space="0" w:color="auto"/>
        <w:left w:val="none" w:sz="0" w:space="0" w:color="auto"/>
        <w:bottom w:val="none" w:sz="0" w:space="0" w:color="auto"/>
        <w:right w:val="none" w:sz="0" w:space="0" w:color="auto"/>
      </w:divBdr>
    </w:div>
    <w:div w:id="1814902481">
      <w:bodyDiv w:val="1"/>
      <w:marLeft w:val="0"/>
      <w:marRight w:val="0"/>
      <w:marTop w:val="0"/>
      <w:marBottom w:val="0"/>
      <w:divBdr>
        <w:top w:val="none" w:sz="0" w:space="0" w:color="auto"/>
        <w:left w:val="none" w:sz="0" w:space="0" w:color="auto"/>
        <w:bottom w:val="none" w:sz="0" w:space="0" w:color="auto"/>
        <w:right w:val="none" w:sz="0" w:space="0" w:color="auto"/>
      </w:divBdr>
    </w:div>
    <w:div w:id="1838498503">
      <w:bodyDiv w:val="1"/>
      <w:marLeft w:val="0"/>
      <w:marRight w:val="0"/>
      <w:marTop w:val="0"/>
      <w:marBottom w:val="0"/>
      <w:divBdr>
        <w:top w:val="none" w:sz="0" w:space="0" w:color="auto"/>
        <w:left w:val="none" w:sz="0" w:space="0" w:color="auto"/>
        <w:bottom w:val="none" w:sz="0" w:space="0" w:color="auto"/>
        <w:right w:val="none" w:sz="0" w:space="0" w:color="auto"/>
      </w:divBdr>
    </w:div>
    <w:div w:id="1869752372">
      <w:bodyDiv w:val="1"/>
      <w:marLeft w:val="0"/>
      <w:marRight w:val="0"/>
      <w:marTop w:val="0"/>
      <w:marBottom w:val="0"/>
      <w:divBdr>
        <w:top w:val="none" w:sz="0" w:space="0" w:color="auto"/>
        <w:left w:val="none" w:sz="0" w:space="0" w:color="auto"/>
        <w:bottom w:val="none" w:sz="0" w:space="0" w:color="auto"/>
        <w:right w:val="none" w:sz="0" w:space="0" w:color="auto"/>
      </w:divBdr>
    </w:div>
    <w:div w:id="1898658777">
      <w:bodyDiv w:val="1"/>
      <w:marLeft w:val="0"/>
      <w:marRight w:val="0"/>
      <w:marTop w:val="0"/>
      <w:marBottom w:val="0"/>
      <w:divBdr>
        <w:top w:val="none" w:sz="0" w:space="0" w:color="auto"/>
        <w:left w:val="none" w:sz="0" w:space="0" w:color="auto"/>
        <w:bottom w:val="none" w:sz="0" w:space="0" w:color="auto"/>
        <w:right w:val="none" w:sz="0" w:space="0" w:color="auto"/>
      </w:divBdr>
      <w:divsChild>
        <w:div w:id="154734201">
          <w:marLeft w:val="0"/>
          <w:marRight w:val="0"/>
          <w:marTop w:val="0"/>
          <w:marBottom w:val="0"/>
          <w:divBdr>
            <w:top w:val="none" w:sz="0" w:space="0" w:color="auto"/>
            <w:left w:val="none" w:sz="0" w:space="0" w:color="auto"/>
            <w:bottom w:val="none" w:sz="0" w:space="0" w:color="auto"/>
            <w:right w:val="none" w:sz="0" w:space="0" w:color="auto"/>
          </w:divBdr>
        </w:div>
        <w:div w:id="1004089504">
          <w:marLeft w:val="0"/>
          <w:marRight w:val="0"/>
          <w:marTop w:val="0"/>
          <w:marBottom w:val="0"/>
          <w:divBdr>
            <w:top w:val="none" w:sz="0" w:space="0" w:color="auto"/>
            <w:left w:val="none" w:sz="0" w:space="0" w:color="auto"/>
            <w:bottom w:val="none" w:sz="0" w:space="0" w:color="auto"/>
            <w:right w:val="none" w:sz="0" w:space="0" w:color="auto"/>
          </w:divBdr>
        </w:div>
        <w:div w:id="180751856">
          <w:marLeft w:val="0"/>
          <w:marRight w:val="0"/>
          <w:marTop w:val="0"/>
          <w:marBottom w:val="0"/>
          <w:divBdr>
            <w:top w:val="none" w:sz="0" w:space="0" w:color="auto"/>
            <w:left w:val="none" w:sz="0" w:space="0" w:color="auto"/>
            <w:bottom w:val="none" w:sz="0" w:space="0" w:color="auto"/>
            <w:right w:val="none" w:sz="0" w:space="0" w:color="auto"/>
          </w:divBdr>
        </w:div>
        <w:div w:id="1245384360">
          <w:marLeft w:val="0"/>
          <w:marRight w:val="0"/>
          <w:marTop w:val="0"/>
          <w:marBottom w:val="0"/>
          <w:divBdr>
            <w:top w:val="none" w:sz="0" w:space="0" w:color="auto"/>
            <w:left w:val="none" w:sz="0" w:space="0" w:color="auto"/>
            <w:bottom w:val="none" w:sz="0" w:space="0" w:color="auto"/>
            <w:right w:val="none" w:sz="0" w:space="0" w:color="auto"/>
          </w:divBdr>
        </w:div>
        <w:div w:id="1209955563">
          <w:marLeft w:val="0"/>
          <w:marRight w:val="0"/>
          <w:marTop w:val="0"/>
          <w:marBottom w:val="0"/>
          <w:divBdr>
            <w:top w:val="none" w:sz="0" w:space="0" w:color="auto"/>
            <w:left w:val="none" w:sz="0" w:space="0" w:color="auto"/>
            <w:bottom w:val="none" w:sz="0" w:space="0" w:color="auto"/>
            <w:right w:val="none" w:sz="0" w:space="0" w:color="auto"/>
          </w:divBdr>
        </w:div>
        <w:div w:id="139395309">
          <w:marLeft w:val="0"/>
          <w:marRight w:val="0"/>
          <w:marTop w:val="0"/>
          <w:marBottom w:val="0"/>
          <w:divBdr>
            <w:top w:val="none" w:sz="0" w:space="0" w:color="auto"/>
            <w:left w:val="none" w:sz="0" w:space="0" w:color="auto"/>
            <w:bottom w:val="none" w:sz="0" w:space="0" w:color="auto"/>
            <w:right w:val="none" w:sz="0" w:space="0" w:color="auto"/>
          </w:divBdr>
        </w:div>
        <w:div w:id="2118332875">
          <w:marLeft w:val="0"/>
          <w:marRight w:val="0"/>
          <w:marTop w:val="0"/>
          <w:marBottom w:val="0"/>
          <w:divBdr>
            <w:top w:val="none" w:sz="0" w:space="0" w:color="auto"/>
            <w:left w:val="none" w:sz="0" w:space="0" w:color="auto"/>
            <w:bottom w:val="none" w:sz="0" w:space="0" w:color="auto"/>
            <w:right w:val="none" w:sz="0" w:space="0" w:color="auto"/>
          </w:divBdr>
        </w:div>
        <w:div w:id="1389694291">
          <w:marLeft w:val="0"/>
          <w:marRight w:val="0"/>
          <w:marTop w:val="0"/>
          <w:marBottom w:val="0"/>
          <w:divBdr>
            <w:top w:val="none" w:sz="0" w:space="0" w:color="auto"/>
            <w:left w:val="none" w:sz="0" w:space="0" w:color="auto"/>
            <w:bottom w:val="none" w:sz="0" w:space="0" w:color="auto"/>
            <w:right w:val="none" w:sz="0" w:space="0" w:color="auto"/>
          </w:divBdr>
        </w:div>
        <w:div w:id="625550925">
          <w:marLeft w:val="0"/>
          <w:marRight w:val="0"/>
          <w:marTop w:val="0"/>
          <w:marBottom w:val="0"/>
          <w:divBdr>
            <w:top w:val="none" w:sz="0" w:space="0" w:color="auto"/>
            <w:left w:val="none" w:sz="0" w:space="0" w:color="auto"/>
            <w:bottom w:val="none" w:sz="0" w:space="0" w:color="auto"/>
            <w:right w:val="none" w:sz="0" w:space="0" w:color="auto"/>
          </w:divBdr>
        </w:div>
        <w:div w:id="1761296083">
          <w:marLeft w:val="0"/>
          <w:marRight w:val="0"/>
          <w:marTop w:val="0"/>
          <w:marBottom w:val="0"/>
          <w:divBdr>
            <w:top w:val="none" w:sz="0" w:space="0" w:color="auto"/>
            <w:left w:val="none" w:sz="0" w:space="0" w:color="auto"/>
            <w:bottom w:val="none" w:sz="0" w:space="0" w:color="auto"/>
            <w:right w:val="none" w:sz="0" w:space="0" w:color="auto"/>
          </w:divBdr>
        </w:div>
        <w:div w:id="959847843">
          <w:marLeft w:val="0"/>
          <w:marRight w:val="0"/>
          <w:marTop w:val="0"/>
          <w:marBottom w:val="0"/>
          <w:divBdr>
            <w:top w:val="none" w:sz="0" w:space="0" w:color="auto"/>
            <w:left w:val="none" w:sz="0" w:space="0" w:color="auto"/>
            <w:bottom w:val="none" w:sz="0" w:space="0" w:color="auto"/>
            <w:right w:val="none" w:sz="0" w:space="0" w:color="auto"/>
          </w:divBdr>
        </w:div>
        <w:div w:id="314728588">
          <w:marLeft w:val="0"/>
          <w:marRight w:val="0"/>
          <w:marTop w:val="0"/>
          <w:marBottom w:val="0"/>
          <w:divBdr>
            <w:top w:val="none" w:sz="0" w:space="0" w:color="auto"/>
            <w:left w:val="none" w:sz="0" w:space="0" w:color="auto"/>
            <w:bottom w:val="none" w:sz="0" w:space="0" w:color="auto"/>
            <w:right w:val="none" w:sz="0" w:space="0" w:color="auto"/>
          </w:divBdr>
        </w:div>
        <w:div w:id="112022744">
          <w:marLeft w:val="0"/>
          <w:marRight w:val="0"/>
          <w:marTop w:val="0"/>
          <w:marBottom w:val="0"/>
          <w:divBdr>
            <w:top w:val="none" w:sz="0" w:space="0" w:color="auto"/>
            <w:left w:val="none" w:sz="0" w:space="0" w:color="auto"/>
            <w:bottom w:val="none" w:sz="0" w:space="0" w:color="auto"/>
            <w:right w:val="none" w:sz="0" w:space="0" w:color="auto"/>
          </w:divBdr>
        </w:div>
        <w:div w:id="2104957128">
          <w:marLeft w:val="0"/>
          <w:marRight w:val="0"/>
          <w:marTop w:val="0"/>
          <w:marBottom w:val="0"/>
          <w:divBdr>
            <w:top w:val="none" w:sz="0" w:space="0" w:color="auto"/>
            <w:left w:val="none" w:sz="0" w:space="0" w:color="auto"/>
            <w:bottom w:val="none" w:sz="0" w:space="0" w:color="auto"/>
            <w:right w:val="none" w:sz="0" w:space="0" w:color="auto"/>
          </w:divBdr>
        </w:div>
        <w:div w:id="896819964">
          <w:marLeft w:val="0"/>
          <w:marRight w:val="0"/>
          <w:marTop w:val="0"/>
          <w:marBottom w:val="0"/>
          <w:divBdr>
            <w:top w:val="none" w:sz="0" w:space="0" w:color="auto"/>
            <w:left w:val="none" w:sz="0" w:space="0" w:color="auto"/>
            <w:bottom w:val="none" w:sz="0" w:space="0" w:color="auto"/>
            <w:right w:val="none" w:sz="0" w:space="0" w:color="auto"/>
          </w:divBdr>
        </w:div>
        <w:div w:id="6300628">
          <w:marLeft w:val="0"/>
          <w:marRight w:val="0"/>
          <w:marTop w:val="0"/>
          <w:marBottom w:val="0"/>
          <w:divBdr>
            <w:top w:val="none" w:sz="0" w:space="0" w:color="auto"/>
            <w:left w:val="none" w:sz="0" w:space="0" w:color="auto"/>
            <w:bottom w:val="none" w:sz="0" w:space="0" w:color="auto"/>
            <w:right w:val="none" w:sz="0" w:space="0" w:color="auto"/>
          </w:divBdr>
        </w:div>
        <w:div w:id="33627170">
          <w:marLeft w:val="0"/>
          <w:marRight w:val="0"/>
          <w:marTop w:val="0"/>
          <w:marBottom w:val="0"/>
          <w:divBdr>
            <w:top w:val="none" w:sz="0" w:space="0" w:color="auto"/>
            <w:left w:val="none" w:sz="0" w:space="0" w:color="auto"/>
            <w:bottom w:val="none" w:sz="0" w:space="0" w:color="auto"/>
            <w:right w:val="none" w:sz="0" w:space="0" w:color="auto"/>
          </w:divBdr>
        </w:div>
        <w:div w:id="1287659252">
          <w:marLeft w:val="0"/>
          <w:marRight w:val="0"/>
          <w:marTop w:val="0"/>
          <w:marBottom w:val="0"/>
          <w:divBdr>
            <w:top w:val="none" w:sz="0" w:space="0" w:color="auto"/>
            <w:left w:val="none" w:sz="0" w:space="0" w:color="auto"/>
            <w:bottom w:val="none" w:sz="0" w:space="0" w:color="auto"/>
            <w:right w:val="none" w:sz="0" w:space="0" w:color="auto"/>
          </w:divBdr>
        </w:div>
        <w:div w:id="1989819188">
          <w:marLeft w:val="0"/>
          <w:marRight w:val="0"/>
          <w:marTop w:val="0"/>
          <w:marBottom w:val="0"/>
          <w:divBdr>
            <w:top w:val="none" w:sz="0" w:space="0" w:color="auto"/>
            <w:left w:val="none" w:sz="0" w:space="0" w:color="auto"/>
            <w:bottom w:val="none" w:sz="0" w:space="0" w:color="auto"/>
            <w:right w:val="none" w:sz="0" w:space="0" w:color="auto"/>
          </w:divBdr>
        </w:div>
        <w:div w:id="1223324897">
          <w:marLeft w:val="0"/>
          <w:marRight w:val="0"/>
          <w:marTop w:val="0"/>
          <w:marBottom w:val="0"/>
          <w:divBdr>
            <w:top w:val="none" w:sz="0" w:space="0" w:color="auto"/>
            <w:left w:val="none" w:sz="0" w:space="0" w:color="auto"/>
            <w:bottom w:val="none" w:sz="0" w:space="0" w:color="auto"/>
            <w:right w:val="none" w:sz="0" w:space="0" w:color="auto"/>
          </w:divBdr>
        </w:div>
        <w:div w:id="151680731">
          <w:marLeft w:val="0"/>
          <w:marRight w:val="0"/>
          <w:marTop w:val="0"/>
          <w:marBottom w:val="0"/>
          <w:divBdr>
            <w:top w:val="none" w:sz="0" w:space="0" w:color="auto"/>
            <w:left w:val="none" w:sz="0" w:space="0" w:color="auto"/>
            <w:bottom w:val="none" w:sz="0" w:space="0" w:color="auto"/>
            <w:right w:val="none" w:sz="0" w:space="0" w:color="auto"/>
          </w:divBdr>
        </w:div>
        <w:div w:id="1554466104">
          <w:marLeft w:val="0"/>
          <w:marRight w:val="0"/>
          <w:marTop w:val="0"/>
          <w:marBottom w:val="0"/>
          <w:divBdr>
            <w:top w:val="none" w:sz="0" w:space="0" w:color="auto"/>
            <w:left w:val="none" w:sz="0" w:space="0" w:color="auto"/>
            <w:bottom w:val="none" w:sz="0" w:space="0" w:color="auto"/>
            <w:right w:val="none" w:sz="0" w:space="0" w:color="auto"/>
          </w:divBdr>
        </w:div>
        <w:div w:id="29572490">
          <w:marLeft w:val="0"/>
          <w:marRight w:val="0"/>
          <w:marTop w:val="0"/>
          <w:marBottom w:val="0"/>
          <w:divBdr>
            <w:top w:val="none" w:sz="0" w:space="0" w:color="auto"/>
            <w:left w:val="none" w:sz="0" w:space="0" w:color="auto"/>
            <w:bottom w:val="none" w:sz="0" w:space="0" w:color="auto"/>
            <w:right w:val="none" w:sz="0" w:space="0" w:color="auto"/>
          </w:divBdr>
        </w:div>
        <w:div w:id="2074767472">
          <w:marLeft w:val="0"/>
          <w:marRight w:val="0"/>
          <w:marTop w:val="0"/>
          <w:marBottom w:val="0"/>
          <w:divBdr>
            <w:top w:val="none" w:sz="0" w:space="0" w:color="auto"/>
            <w:left w:val="none" w:sz="0" w:space="0" w:color="auto"/>
            <w:bottom w:val="none" w:sz="0" w:space="0" w:color="auto"/>
            <w:right w:val="none" w:sz="0" w:space="0" w:color="auto"/>
          </w:divBdr>
        </w:div>
        <w:div w:id="382103387">
          <w:marLeft w:val="0"/>
          <w:marRight w:val="0"/>
          <w:marTop w:val="0"/>
          <w:marBottom w:val="0"/>
          <w:divBdr>
            <w:top w:val="none" w:sz="0" w:space="0" w:color="auto"/>
            <w:left w:val="none" w:sz="0" w:space="0" w:color="auto"/>
            <w:bottom w:val="none" w:sz="0" w:space="0" w:color="auto"/>
            <w:right w:val="none" w:sz="0" w:space="0" w:color="auto"/>
          </w:divBdr>
        </w:div>
        <w:div w:id="839320287">
          <w:marLeft w:val="0"/>
          <w:marRight w:val="0"/>
          <w:marTop w:val="0"/>
          <w:marBottom w:val="0"/>
          <w:divBdr>
            <w:top w:val="none" w:sz="0" w:space="0" w:color="auto"/>
            <w:left w:val="none" w:sz="0" w:space="0" w:color="auto"/>
            <w:bottom w:val="none" w:sz="0" w:space="0" w:color="auto"/>
            <w:right w:val="none" w:sz="0" w:space="0" w:color="auto"/>
          </w:divBdr>
        </w:div>
        <w:div w:id="951400872">
          <w:marLeft w:val="0"/>
          <w:marRight w:val="0"/>
          <w:marTop w:val="0"/>
          <w:marBottom w:val="0"/>
          <w:divBdr>
            <w:top w:val="none" w:sz="0" w:space="0" w:color="auto"/>
            <w:left w:val="none" w:sz="0" w:space="0" w:color="auto"/>
            <w:bottom w:val="none" w:sz="0" w:space="0" w:color="auto"/>
            <w:right w:val="none" w:sz="0" w:space="0" w:color="auto"/>
          </w:divBdr>
        </w:div>
        <w:div w:id="2123643492">
          <w:marLeft w:val="0"/>
          <w:marRight w:val="0"/>
          <w:marTop w:val="0"/>
          <w:marBottom w:val="0"/>
          <w:divBdr>
            <w:top w:val="none" w:sz="0" w:space="0" w:color="auto"/>
            <w:left w:val="none" w:sz="0" w:space="0" w:color="auto"/>
            <w:bottom w:val="none" w:sz="0" w:space="0" w:color="auto"/>
            <w:right w:val="none" w:sz="0" w:space="0" w:color="auto"/>
          </w:divBdr>
        </w:div>
        <w:div w:id="756099635">
          <w:marLeft w:val="0"/>
          <w:marRight w:val="0"/>
          <w:marTop w:val="0"/>
          <w:marBottom w:val="0"/>
          <w:divBdr>
            <w:top w:val="none" w:sz="0" w:space="0" w:color="auto"/>
            <w:left w:val="none" w:sz="0" w:space="0" w:color="auto"/>
            <w:bottom w:val="none" w:sz="0" w:space="0" w:color="auto"/>
            <w:right w:val="none" w:sz="0" w:space="0" w:color="auto"/>
          </w:divBdr>
        </w:div>
        <w:div w:id="1938978020">
          <w:marLeft w:val="0"/>
          <w:marRight w:val="0"/>
          <w:marTop w:val="0"/>
          <w:marBottom w:val="0"/>
          <w:divBdr>
            <w:top w:val="none" w:sz="0" w:space="0" w:color="auto"/>
            <w:left w:val="none" w:sz="0" w:space="0" w:color="auto"/>
            <w:bottom w:val="none" w:sz="0" w:space="0" w:color="auto"/>
            <w:right w:val="none" w:sz="0" w:space="0" w:color="auto"/>
          </w:divBdr>
        </w:div>
        <w:div w:id="138227011">
          <w:marLeft w:val="0"/>
          <w:marRight w:val="0"/>
          <w:marTop w:val="0"/>
          <w:marBottom w:val="0"/>
          <w:divBdr>
            <w:top w:val="none" w:sz="0" w:space="0" w:color="auto"/>
            <w:left w:val="none" w:sz="0" w:space="0" w:color="auto"/>
            <w:bottom w:val="none" w:sz="0" w:space="0" w:color="auto"/>
            <w:right w:val="none" w:sz="0" w:space="0" w:color="auto"/>
          </w:divBdr>
        </w:div>
      </w:divsChild>
    </w:div>
    <w:div w:id="1899703532">
      <w:bodyDiv w:val="1"/>
      <w:marLeft w:val="0"/>
      <w:marRight w:val="0"/>
      <w:marTop w:val="0"/>
      <w:marBottom w:val="0"/>
      <w:divBdr>
        <w:top w:val="none" w:sz="0" w:space="0" w:color="auto"/>
        <w:left w:val="none" w:sz="0" w:space="0" w:color="auto"/>
        <w:bottom w:val="none" w:sz="0" w:space="0" w:color="auto"/>
        <w:right w:val="none" w:sz="0" w:space="0" w:color="auto"/>
      </w:divBdr>
    </w:div>
    <w:div w:id="1927419660">
      <w:bodyDiv w:val="1"/>
      <w:marLeft w:val="0"/>
      <w:marRight w:val="0"/>
      <w:marTop w:val="0"/>
      <w:marBottom w:val="0"/>
      <w:divBdr>
        <w:top w:val="none" w:sz="0" w:space="0" w:color="auto"/>
        <w:left w:val="none" w:sz="0" w:space="0" w:color="auto"/>
        <w:bottom w:val="none" w:sz="0" w:space="0" w:color="auto"/>
        <w:right w:val="none" w:sz="0" w:space="0" w:color="auto"/>
      </w:divBdr>
    </w:div>
    <w:div w:id="1968774709">
      <w:bodyDiv w:val="1"/>
      <w:marLeft w:val="0"/>
      <w:marRight w:val="0"/>
      <w:marTop w:val="0"/>
      <w:marBottom w:val="0"/>
      <w:divBdr>
        <w:top w:val="none" w:sz="0" w:space="0" w:color="auto"/>
        <w:left w:val="none" w:sz="0" w:space="0" w:color="auto"/>
        <w:bottom w:val="none" w:sz="0" w:space="0" w:color="auto"/>
        <w:right w:val="none" w:sz="0" w:space="0" w:color="auto"/>
      </w:divBdr>
    </w:div>
    <w:div w:id="1975523751">
      <w:bodyDiv w:val="1"/>
      <w:marLeft w:val="0"/>
      <w:marRight w:val="0"/>
      <w:marTop w:val="0"/>
      <w:marBottom w:val="0"/>
      <w:divBdr>
        <w:top w:val="none" w:sz="0" w:space="0" w:color="auto"/>
        <w:left w:val="none" w:sz="0" w:space="0" w:color="auto"/>
        <w:bottom w:val="none" w:sz="0" w:space="0" w:color="auto"/>
        <w:right w:val="none" w:sz="0" w:space="0" w:color="auto"/>
      </w:divBdr>
    </w:div>
    <w:div w:id="2036736541">
      <w:bodyDiv w:val="1"/>
      <w:marLeft w:val="0"/>
      <w:marRight w:val="0"/>
      <w:marTop w:val="0"/>
      <w:marBottom w:val="0"/>
      <w:divBdr>
        <w:top w:val="none" w:sz="0" w:space="0" w:color="auto"/>
        <w:left w:val="none" w:sz="0" w:space="0" w:color="auto"/>
        <w:bottom w:val="none" w:sz="0" w:space="0" w:color="auto"/>
        <w:right w:val="none" w:sz="0" w:space="0" w:color="auto"/>
      </w:divBdr>
      <w:divsChild>
        <w:div w:id="952253300">
          <w:marLeft w:val="0"/>
          <w:marRight w:val="0"/>
          <w:marTop w:val="0"/>
          <w:marBottom w:val="0"/>
          <w:divBdr>
            <w:top w:val="none" w:sz="0" w:space="0" w:color="auto"/>
            <w:left w:val="none" w:sz="0" w:space="0" w:color="auto"/>
            <w:bottom w:val="none" w:sz="0" w:space="0" w:color="auto"/>
            <w:right w:val="none" w:sz="0" w:space="0" w:color="auto"/>
          </w:divBdr>
          <w:divsChild>
            <w:div w:id="955791495">
              <w:marLeft w:val="0"/>
              <w:marRight w:val="0"/>
              <w:marTop w:val="0"/>
              <w:marBottom w:val="0"/>
              <w:divBdr>
                <w:top w:val="none" w:sz="0" w:space="0" w:color="auto"/>
                <w:left w:val="none" w:sz="0" w:space="0" w:color="auto"/>
                <w:bottom w:val="none" w:sz="0" w:space="0" w:color="auto"/>
                <w:right w:val="none" w:sz="0" w:space="0" w:color="auto"/>
              </w:divBdr>
              <w:divsChild>
                <w:div w:id="1363895865">
                  <w:marLeft w:val="0"/>
                  <w:marRight w:val="-6084"/>
                  <w:marTop w:val="0"/>
                  <w:marBottom w:val="0"/>
                  <w:divBdr>
                    <w:top w:val="none" w:sz="0" w:space="0" w:color="auto"/>
                    <w:left w:val="none" w:sz="0" w:space="0" w:color="auto"/>
                    <w:bottom w:val="none" w:sz="0" w:space="0" w:color="auto"/>
                    <w:right w:val="none" w:sz="0" w:space="0" w:color="auto"/>
                  </w:divBdr>
                  <w:divsChild>
                    <w:div w:id="31812034">
                      <w:marLeft w:val="0"/>
                      <w:marRight w:val="5844"/>
                      <w:marTop w:val="0"/>
                      <w:marBottom w:val="0"/>
                      <w:divBdr>
                        <w:top w:val="none" w:sz="0" w:space="0" w:color="auto"/>
                        <w:left w:val="none" w:sz="0" w:space="0" w:color="auto"/>
                        <w:bottom w:val="none" w:sz="0" w:space="0" w:color="auto"/>
                        <w:right w:val="none" w:sz="0" w:space="0" w:color="auto"/>
                      </w:divBdr>
                      <w:divsChild>
                        <w:div w:id="1742288793">
                          <w:marLeft w:val="0"/>
                          <w:marRight w:val="0"/>
                          <w:marTop w:val="0"/>
                          <w:marBottom w:val="0"/>
                          <w:divBdr>
                            <w:top w:val="none" w:sz="0" w:space="0" w:color="auto"/>
                            <w:left w:val="none" w:sz="0" w:space="0" w:color="auto"/>
                            <w:bottom w:val="none" w:sz="0" w:space="0" w:color="auto"/>
                            <w:right w:val="none" w:sz="0" w:space="0" w:color="auto"/>
                          </w:divBdr>
                          <w:divsChild>
                            <w:div w:id="537671083">
                              <w:marLeft w:val="0"/>
                              <w:marRight w:val="0"/>
                              <w:marTop w:val="120"/>
                              <w:marBottom w:val="360"/>
                              <w:divBdr>
                                <w:top w:val="none" w:sz="0" w:space="0" w:color="auto"/>
                                <w:left w:val="none" w:sz="0" w:space="0" w:color="auto"/>
                                <w:bottom w:val="none" w:sz="0" w:space="0" w:color="auto"/>
                                <w:right w:val="none" w:sz="0" w:space="0" w:color="auto"/>
                              </w:divBdr>
                              <w:divsChild>
                                <w:div w:id="211885509">
                                  <w:marLeft w:val="469"/>
                                  <w:marRight w:val="0"/>
                                  <w:marTop w:val="0"/>
                                  <w:marBottom w:val="0"/>
                                  <w:divBdr>
                                    <w:top w:val="none" w:sz="0" w:space="0" w:color="auto"/>
                                    <w:left w:val="none" w:sz="0" w:space="0" w:color="auto"/>
                                    <w:bottom w:val="none" w:sz="0" w:space="0" w:color="auto"/>
                                    <w:right w:val="none" w:sz="0" w:space="0" w:color="auto"/>
                                  </w:divBdr>
                                  <w:divsChild>
                                    <w:div w:id="5892414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590475">
      <w:bodyDiv w:val="1"/>
      <w:marLeft w:val="0"/>
      <w:marRight w:val="0"/>
      <w:marTop w:val="0"/>
      <w:marBottom w:val="0"/>
      <w:divBdr>
        <w:top w:val="none" w:sz="0" w:space="0" w:color="auto"/>
        <w:left w:val="none" w:sz="0" w:space="0" w:color="auto"/>
        <w:bottom w:val="none" w:sz="0" w:space="0" w:color="auto"/>
        <w:right w:val="none" w:sz="0" w:space="0" w:color="auto"/>
      </w:divBdr>
    </w:div>
    <w:div w:id="2136219337">
      <w:bodyDiv w:val="1"/>
      <w:marLeft w:val="0"/>
      <w:marRight w:val="0"/>
      <w:marTop w:val="0"/>
      <w:marBottom w:val="0"/>
      <w:divBdr>
        <w:top w:val="none" w:sz="0" w:space="0" w:color="auto"/>
        <w:left w:val="none" w:sz="0" w:space="0" w:color="auto"/>
        <w:bottom w:val="none" w:sz="0" w:space="0" w:color="auto"/>
        <w:right w:val="none" w:sz="0" w:space="0" w:color="auto"/>
      </w:divBdr>
    </w:div>
    <w:div w:id="21466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ancer.fr" TargetMode="External"/><Relationship Id="rId18" Type="http://schemas.openxmlformats.org/officeDocument/2006/relationships/hyperlink" Target="https://www.e-cancer.fr/Professionnels-de-sante/Depistage-et-detection-precoce" TargetMode="External"/><Relationship Id="rId39" Type="http://schemas.openxmlformats.org/officeDocument/2006/relationships/image" Target="media/image100.png"/><Relationship Id="rId51"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pubmed.ncbi.nlm.nih.gov/35681651/"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lesdonnees.e-cancer.fr" TargetMode="External"/><Relationship Id="rId17" Type="http://schemas.openxmlformats.org/officeDocument/2006/relationships/image" Target="media/image5.jpeg"/><Relationship Id="rId25"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lesdonnees.e-cancer.f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png"/><Relationship Id="rId40" Type="http://schemas.openxmlformats.org/officeDocument/2006/relationships/image" Target="media/image1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juridique@institutcancer.fr" TargetMode="External"/><Relationship Id="rId23" Type="http://schemas.openxmlformats.org/officeDocument/2006/relationships/hyperlink" Target="https://www.cancer.fr/" TargetMode="External"/><Relationship Id="rId49"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https://www.e-cancer.fr/Institut-national-du-cancer/Filiere-Intelligence-Artificielle-et-Cancers"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cancer.fr/Politique-de-protection-des-donnees-a-caractere-personnel" TargetMode="External"/><Relationship Id="rId22" Type="http://schemas.openxmlformats.org/officeDocument/2006/relationships/hyperlink" Target="https://pubmed.ncbi.nlm.nih.gov/35750594/"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VE\503-%20Plateforme%20donnees\10-%20Charte%20graphique%20et%20mod&#232;les\MODELES%20DOTX%20CSE%20PDC\Trame%20Protocole_2024_03_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DEAB-0AA5-4533-83B1-3A2512DB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Protocole_2024_03_12.dotx</Template>
  <TotalTime>5</TotalTime>
  <Pages>45</Pages>
  <Words>13999</Words>
  <Characters>83249</Characters>
  <Application>Microsoft Office Word</Application>
  <DocSecurity>0</DocSecurity>
  <Lines>693</Lines>
  <Paragraphs>194</Paragraphs>
  <ScaleCrop>false</ScaleCrop>
  <HeadingPairs>
    <vt:vector size="2" baseType="variant">
      <vt:variant>
        <vt:lpstr>Titre</vt:lpstr>
      </vt:variant>
      <vt:variant>
        <vt:i4>1</vt:i4>
      </vt:variant>
    </vt:vector>
  </HeadingPairs>
  <TitlesOfParts>
    <vt:vector size="1" baseType="lpstr">
      <vt:lpstr>COUVERTURE</vt:lpstr>
    </vt:vector>
  </TitlesOfParts>
  <Company>fnclcc</Company>
  <LinksUpToDate>false</LinksUpToDate>
  <CharactersWithSpaces>97054</CharactersWithSpaces>
  <SharedDoc>false</SharedDoc>
  <HLinks>
    <vt:vector size="240" baseType="variant">
      <vt:variant>
        <vt:i4>3997729</vt:i4>
      </vt:variant>
      <vt:variant>
        <vt:i4>225</vt:i4>
      </vt:variant>
      <vt:variant>
        <vt:i4>0</vt:i4>
      </vt:variant>
      <vt:variant>
        <vt:i4>5</vt:i4>
      </vt:variant>
      <vt:variant>
        <vt:lpwstr>http://www.ncbi.nlm.nih.gov/pubmed/20007781</vt:lpwstr>
      </vt:variant>
      <vt:variant>
        <vt:lpwstr/>
      </vt:variant>
      <vt:variant>
        <vt:i4>7995499</vt:i4>
      </vt:variant>
      <vt:variant>
        <vt:i4>222</vt:i4>
      </vt:variant>
      <vt:variant>
        <vt:i4>0</vt:i4>
      </vt:variant>
      <vt:variant>
        <vt:i4>5</vt:i4>
      </vt:variant>
      <vt:variant>
        <vt:lpwstr>http://www.e-cancer.fr/</vt:lpwstr>
      </vt:variant>
      <vt:variant>
        <vt:lpwstr/>
      </vt:variant>
      <vt:variant>
        <vt:i4>4128843</vt:i4>
      </vt:variant>
      <vt:variant>
        <vt:i4>219</vt:i4>
      </vt:variant>
      <vt:variant>
        <vt:i4>0</vt:i4>
      </vt:variant>
      <vt:variant>
        <vt:i4>5</vt:i4>
      </vt:variant>
      <vt:variant>
        <vt:lpwstr>http://www.e-cancer.fr/v1/indexpopup.php?option=com_glossaire&amp;Itemid=552&amp;id=523&amp;lang=1&amp;vers=1</vt:lpwstr>
      </vt:variant>
      <vt:variant>
        <vt:lpwstr/>
      </vt:variant>
      <vt:variant>
        <vt:i4>1441842</vt:i4>
      </vt:variant>
      <vt:variant>
        <vt:i4>212</vt:i4>
      </vt:variant>
      <vt:variant>
        <vt:i4>0</vt:i4>
      </vt:variant>
      <vt:variant>
        <vt:i4>5</vt:i4>
      </vt:variant>
      <vt:variant>
        <vt:lpwstr/>
      </vt:variant>
      <vt:variant>
        <vt:lpwstr>_Toc311732357</vt:lpwstr>
      </vt:variant>
      <vt:variant>
        <vt:i4>1441842</vt:i4>
      </vt:variant>
      <vt:variant>
        <vt:i4>206</vt:i4>
      </vt:variant>
      <vt:variant>
        <vt:i4>0</vt:i4>
      </vt:variant>
      <vt:variant>
        <vt:i4>5</vt:i4>
      </vt:variant>
      <vt:variant>
        <vt:lpwstr/>
      </vt:variant>
      <vt:variant>
        <vt:lpwstr>_Toc311732356</vt:lpwstr>
      </vt:variant>
      <vt:variant>
        <vt:i4>1441842</vt:i4>
      </vt:variant>
      <vt:variant>
        <vt:i4>200</vt:i4>
      </vt:variant>
      <vt:variant>
        <vt:i4>0</vt:i4>
      </vt:variant>
      <vt:variant>
        <vt:i4>5</vt:i4>
      </vt:variant>
      <vt:variant>
        <vt:lpwstr/>
      </vt:variant>
      <vt:variant>
        <vt:lpwstr>_Toc311732355</vt:lpwstr>
      </vt:variant>
      <vt:variant>
        <vt:i4>1441842</vt:i4>
      </vt:variant>
      <vt:variant>
        <vt:i4>194</vt:i4>
      </vt:variant>
      <vt:variant>
        <vt:i4>0</vt:i4>
      </vt:variant>
      <vt:variant>
        <vt:i4>5</vt:i4>
      </vt:variant>
      <vt:variant>
        <vt:lpwstr/>
      </vt:variant>
      <vt:variant>
        <vt:lpwstr>_Toc311732354</vt:lpwstr>
      </vt:variant>
      <vt:variant>
        <vt:i4>1441842</vt:i4>
      </vt:variant>
      <vt:variant>
        <vt:i4>188</vt:i4>
      </vt:variant>
      <vt:variant>
        <vt:i4>0</vt:i4>
      </vt:variant>
      <vt:variant>
        <vt:i4>5</vt:i4>
      </vt:variant>
      <vt:variant>
        <vt:lpwstr/>
      </vt:variant>
      <vt:variant>
        <vt:lpwstr>_Toc311732353</vt:lpwstr>
      </vt:variant>
      <vt:variant>
        <vt:i4>1441842</vt:i4>
      </vt:variant>
      <vt:variant>
        <vt:i4>182</vt:i4>
      </vt:variant>
      <vt:variant>
        <vt:i4>0</vt:i4>
      </vt:variant>
      <vt:variant>
        <vt:i4>5</vt:i4>
      </vt:variant>
      <vt:variant>
        <vt:lpwstr/>
      </vt:variant>
      <vt:variant>
        <vt:lpwstr>_Toc311732352</vt:lpwstr>
      </vt:variant>
      <vt:variant>
        <vt:i4>1441842</vt:i4>
      </vt:variant>
      <vt:variant>
        <vt:i4>176</vt:i4>
      </vt:variant>
      <vt:variant>
        <vt:i4>0</vt:i4>
      </vt:variant>
      <vt:variant>
        <vt:i4>5</vt:i4>
      </vt:variant>
      <vt:variant>
        <vt:lpwstr/>
      </vt:variant>
      <vt:variant>
        <vt:lpwstr>_Toc311732351</vt:lpwstr>
      </vt:variant>
      <vt:variant>
        <vt:i4>1441842</vt:i4>
      </vt:variant>
      <vt:variant>
        <vt:i4>170</vt:i4>
      </vt:variant>
      <vt:variant>
        <vt:i4>0</vt:i4>
      </vt:variant>
      <vt:variant>
        <vt:i4>5</vt:i4>
      </vt:variant>
      <vt:variant>
        <vt:lpwstr/>
      </vt:variant>
      <vt:variant>
        <vt:lpwstr>_Toc311732350</vt:lpwstr>
      </vt:variant>
      <vt:variant>
        <vt:i4>1507378</vt:i4>
      </vt:variant>
      <vt:variant>
        <vt:i4>164</vt:i4>
      </vt:variant>
      <vt:variant>
        <vt:i4>0</vt:i4>
      </vt:variant>
      <vt:variant>
        <vt:i4>5</vt:i4>
      </vt:variant>
      <vt:variant>
        <vt:lpwstr/>
      </vt:variant>
      <vt:variant>
        <vt:lpwstr>_Toc311732349</vt:lpwstr>
      </vt:variant>
      <vt:variant>
        <vt:i4>1507378</vt:i4>
      </vt:variant>
      <vt:variant>
        <vt:i4>158</vt:i4>
      </vt:variant>
      <vt:variant>
        <vt:i4>0</vt:i4>
      </vt:variant>
      <vt:variant>
        <vt:i4>5</vt:i4>
      </vt:variant>
      <vt:variant>
        <vt:lpwstr/>
      </vt:variant>
      <vt:variant>
        <vt:lpwstr>_Toc311732348</vt:lpwstr>
      </vt:variant>
      <vt:variant>
        <vt:i4>1507378</vt:i4>
      </vt:variant>
      <vt:variant>
        <vt:i4>152</vt:i4>
      </vt:variant>
      <vt:variant>
        <vt:i4>0</vt:i4>
      </vt:variant>
      <vt:variant>
        <vt:i4>5</vt:i4>
      </vt:variant>
      <vt:variant>
        <vt:lpwstr/>
      </vt:variant>
      <vt:variant>
        <vt:lpwstr>_Toc311732347</vt:lpwstr>
      </vt:variant>
      <vt:variant>
        <vt:i4>1507378</vt:i4>
      </vt:variant>
      <vt:variant>
        <vt:i4>146</vt:i4>
      </vt:variant>
      <vt:variant>
        <vt:i4>0</vt:i4>
      </vt:variant>
      <vt:variant>
        <vt:i4>5</vt:i4>
      </vt:variant>
      <vt:variant>
        <vt:lpwstr/>
      </vt:variant>
      <vt:variant>
        <vt:lpwstr>_Toc311732346</vt:lpwstr>
      </vt:variant>
      <vt:variant>
        <vt:i4>1507378</vt:i4>
      </vt:variant>
      <vt:variant>
        <vt:i4>140</vt:i4>
      </vt:variant>
      <vt:variant>
        <vt:i4>0</vt:i4>
      </vt:variant>
      <vt:variant>
        <vt:i4>5</vt:i4>
      </vt:variant>
      <vt:variant>
        <vt:lpwstr/>
      </vt:variant>
      <vt:variant>
        <vt:lpwstr>_Toc311732345</vt:lpwstr>
      </vt:variant>
      <vt:variant>
        <vt:i4>1507378</vt:i4>
      </vt:variant>
      <vt:variant>
        <vt:i4>134</vt:i4>
      </vt:variant>
      <vt:variant>
        <vt:i4>0</vt:i4>
      </vt:variant>
      <vt:variant>
        <vt:i4>5</vt:i4>
      </vt:variant>
      <vt:variant>
        <vt:lpwstr/>
      </vt:variant>
      <vt:variant>
        <vt:lpwstr>_Toc311732344</vt:lpwstr>
      </vt:variant>
      <vt:variant>
        <vt:i4>1507378</vt:i4>
      </vt:variant>
      <vt:variant>
        <vt:i4>128</vt:i4>
      </vt:variant>
      <vt:variant>
        <vt:i4>0</vt:i4>
      </vt:variant>
      <vt:variant>
        <vt:i4>5</vt:i4>
      </vt:variant>
      <vt:variant>
        <vt:lpwstr/>
      </vt:variant>
      <vt:variant>
        <vt:lpwstr>_Toc311732343</vt:lpwstr>
      </vt:variant>
      <vt:variant>
        <vt:i4>1507378</vt:i4>
      </vt:variant>
      <vt:variant>
        <vt:i4>122</vt:i4>
      </vt:variant>
      <vt:variant>
        <vt:i4>0</vt:i4>
      </vt:variant>
      <vt:variant>
        <vt:i4>5</vt:i4>
      </vt:variant>
      <vt:variant>
        <vt:lpwstr/>
      </vt:variant>
      <vt:variant>
        <vt:lpwstr>_Toc311732342</vt:lpwstr>
      </vt:variant>
      <vt:variant>
        <vt:i4>1507378</vt:i4>
      </vt:variant>
      <vt:variant>
        <vt:i4>116</vt:i4>
      </vt:variant>
      <vt:variant>
        <vt:i4>0</vt:i4>
      </vt:variant>
      <vt:variant>
        <vt:i4>5</vt:i4>
      </vt:variant>
      <vt:variant>
        <vt:lpwstr/>
      </vt:variant>
      <vt:variant>
        <vt:lpwstr>_Toc311732341</vt:lpwstr>
      </vt:variant>
      <vt:variant>
        <vt:i4>1507378</vt:i4>
      </vt:variant>
      <vt:variant>
        <vt:i4>110</vt:i4>
      </vt:variant>
      <vt:variant>
        <vt:i4>0</vt:i4>
      </vt:variant>
      <vt:variant>
        <vt:i4>5</vt:i4>
      </vt:variant>
      <vt:variant>
        <vt:lpwstr/>
      </vt:variant>
      <vt:variant>
        <vt:lpwstr>_Toc311732340</vt:lpwstr>
      </vt:variant>
      <vt:variant>
        <vt:i4>1048626</vt:i4>
      </vt:variant>
      <vt:variant>
        <vt:i4>104</vt:i4>
      </vt:variant>
      <vt:variant>
        <vt:i4>0</vt:i4>
      </vt:variant>
      <vt:variant>
        <vt:i4>5</vt:i4>
      </vt:variant>
      <vt:variant>
        <vt:lpwstr/>
      </vt:variant>
      <vt:variant>
        <vt:lpwstr>_Toc311732339</vt:lpwstr>
      </vt:variant>
      <vt:variant>
        <vt:i4>1048626</vt:i4>
      </vt:variant>
      <vt:variant>
        <vt:i4>98</vt:i4>
      </vt:variant>
      <vt:variant>
        <vt:i4>0</vt:i4>
      </vt:variant>
      <vt:variant>
        <vt:i4>5</vt:i4>
      </vt:variant>
      <vt:variant>
        <vt:lpwstr/>
      </vt:variant>
      <vt:variant>
        <vt:lpwstr>_Toc311732338</vt:lpwstr>
      </vt:variant>
      <vt:variant>
        <vt:i4>1048626</vt:i4>
      </vt:variant>
      <vt:variant>
        <vt:i4>92</vt:i4>
      </vt:variant>
      <vt:variant>
        <vt:i4>0</vt:i4>
      </vt:variant>
      <vt:variant>
        <vt:i4>5</vt:i4>
      </vt:variant>
      <vt:variant>
        <vt:lpwstr/>
      </vt:variant>
      <vt:variant>
        <vt:lpwstr>_Toc311732337</vt:lpwstr>
      </vt:variant>
      <vt:variant>
        <vt:i4>1048626</vt:i4>
      </vt:variant>
      <vt:variant>
        <vt:i4>86</vt:i4>
      </vt:variant>
      <vt:variant>
        <vt:i4>0</vt:i4>
      </vt:variant>
      <vt:variant>
        <vt:i4>5</vt:i4>
      </vt:variant>
      <vt:variant>
        <vt:lpwstr/>
      </vt:variant>
      <vt:variant>
        <vt:lpwstr>_Toc311732336</vt:lpwstr>
      </vt:variant>
      <vt:variant>
        <vt:i4>1048626</vt:i4>
      </vt:variant>
      <vt:variant>
        <vt:i4>80</vt:i4>
      </vt:variant>
      <vt:variant>
        <vt:i4>0</vt:i4>
      </vt:variant>
      <vt:variant>
        <vt:i4>5</vt:i4>
      </vt:variant>
      <vt:variant>
        <vt:lpwstr/>
      </vt:variant>
      <vt:variant>
        <vt:lpwstr>_Toc311732335</vt:lpwstr>
      </vt:variant>
      <vt:variant>
        <vt:i4>1048626</vt:i4>
      </vt:variant>
      <vt:variant>
        <vt:i4>74</vt:i4>
      </vt:variant>
      <vt:variant>
        <vt:i4>0</vt:i4>
      </vt:variant>
      <vt:variant>
        <vt:i4>5</vt:i4>
      </vt:variant>
      <vt:variant>
        <vt:lpwstr/>
      </vt:variant>
      <vt:variant>
        <vt:lpwstr>_Toc311732334</vt:lpwstr>
      </vt:variant>
      <vt:variant>
        <vt:i4>1048626</vt:i4>
      </vt:variant>
      <vt:variant>
        <vt:i4>68</vt:i4>
      </vt:variant>
      <vt:variant>
        <vt:i4>0</vt:i4>
      </vt:variant>
      <vt:variant>
        <vt:i4>5</vt:i4>
      </vt:variant>
      <vt:variant>
        <vt:lpwstr/>
      </vt:variant>
      <vt:variant>
        <vt:lpwstr>_Toc311732333</vt:lpwstr>
      </vt:variant>
      <vt:variant>
        <vt:i4>1048626</vt:i4>
      </vt:variant>
      <vt:variant>
        <vt:i4>62</vt:i4>
      </vt:variant>
      <vt:variant>
        <vt:i4>0</vt:i4>
      </vt:variant>
      <vt:variant>
        <vt:i4>5</vt:i4>
      </vt:variant>
      <vt:variant>
        <vt:lpwstr/>
      </vt:variant>
      <vt:variant>
        <vt:lpwstr>_Toc311732332</vt:lpwstr>
      </vt:variant>
      <vt:variant>
        <vt:i4>1048626</vt:i4>
      </vt:variant>
      <vt:variant>
        <vt:i4>56</vt:i4>
      </vt:variant>
      <vt:variant>
        <vt:i4>0</vt:i4>
      </vt:variant>
      <vt:variant>
        <vt:i4>5</vt:i4>
      </vt:variant>
      <vt:variant>
        <vt:lpwstr/>
      </vt:variant>
      <vt:variant>
        <vt:lpwstr>_Toc311732331</vt:lpwstr>
      </vt:variant>
      <vt:variant>
        <vt:i4>1048626</vt:i4>
      </vt:variant>
      <vt:variant>
        <vt:i4>50</vt:i4>
      </vt:variant>
      <vt:variant>
        <vt:i4>0</vt:i4>
      </vt:variant>
      <vt:variant>
        <vt:i4>5</vt:i4>
      </vt:variant>
      <vt:variant>
        <vt:lpwstr/>
      </vt:variant>
      <vt:variant>
        <vt:lpwstr>_Toc311732330</vt:lpwstr>
      </vt:variant>
      <vt:variant>
        <vt:i4>1114162</vt:i4>
      </vt:variant>
      <vt:variant>
        <vt:i4>44</vt:i4>
      </vt:variant>
      <vt:variant>
        <vt:i4>0</vt:i4>
      </vt:variant>
      <vt:variant>
        <vt:i4>5</vt:i4>
      </vt:variant>
      <vt:variant>
        <vt:lpwstr/>
      </vt:variant>
      <vt:variant>
        <vt:lpwstr>_Toc311732329</vt:lpwstr>
      </vt:variant>
      <vt:variant>
        <vt:i4>1114162</vt:i4>
      </vt:variant>
      <vt:variant>
        <vt:i4>38</vt:i4>
      </vt:variant>
      <vt:variant>
        <vt:i4>0</vt:i4>
      </vt:variant>
      <vt:variant>
        <vt:i4>5</vt:i4>
      </vt:variant>
      <vt:variant>
        <vt:lpwstr/>
      </vt:variant>
      <vt:variant>
        <vt:lpwstr>_Toc311732328</vt:lpwstr>
      </vt:variant>
      <vt:variant>
        <vt:i4>1114162</vt:i4>
      </vt:variant>
      <vt:variant>
        <vt:i4>32</vt:i4>
      </vt:variant>
      <vt:variant>
        <vt:i4>0</vt:i4>
      </vt:variant>
      <vt:variant>
        <vt:i4>5</vt:i4>
      </vt:variant>
      <vt:variant>
        <vt:lpwstr/>
      </vt:variant>
      <vt:variant>
        <vt:lpwstr>_Toc311732327</vt:lpwstr>
      </vt:variant>
      <vt:variant>
        <vt:i4>1114162</vt:i4>
      </vt:variant>
      <vt:variant>
        <vt:i4>26</vt:i4>
      </vt:variant>
      <vt:variant>
        <vt:i4>0</vt:i4>
      </vt:variant>
      <vt:variant>
        <vt:i4>5</vt:i4>
      </vt:variant>
      <vt:variant>
        <vt:lpwstr/>
      </vt:variant>
      <vt:variant>
        <vt:lpwstr>_Toc311732326</vt:lpwstr>
      </vt:variant>
      <vt:variant>
        <vt:i4>1114162</vt:i4>
      </vt:variant>
      <vt:variant>
        <vt:i4>20</vt:i4>
      </vt:variant>
      <vt:variant>
        <vt:i4>0</vt:i4>
      </vt:variant>
      <vt:variant>
        <vt:i4>5</vt:i4>
      </vt:variant>
      <vt:variant>
        <vt:lpwstr/>
      </vt:variant>
      <vt:variant>
        <vt:lpwstr>_Toc311732325</vt:lpwstr>
      </vt:variant>
      <vt:variant>
        <vt:i4>1114162</vt:i4>
      </vt:variant>
      <vt:variant>
        <vt:i4>14</vt:i4>
      </vt:variant>
      <vt:variant>
        <vt:i4>0</vt:i4>
      </vt:variant>
      <vt:variant>
        <vt:i4>5</vt:i4>
      </vt:variant>
      <vt:variant>
        <vt:lpwstr/>
      </vt:variant>
      <vt:variant>
        <vt:lpwstr>_Toc311732324</vt:lpwstr>
      </vt:variant>
      <vt:variant>
        <vt:i4>1114162</vt:i4>
      </vt:variant>
      <vt:variant>
        <vt:i4>8</vt:i4>
      </vt:variant>
      <vt:variant>
        <vt:i4>0</vt:i4>
      </vt:variant>
      <vt:variant>
        <vt:i4>5</vt:i4>
      </vt:variant>
      <vt:variant>
        <vt:lpwstr/>
      </vt:variant>
      <vt:variant>
        <vt:lpwstr>_Toc311732323</vt:lpwstr>
      </vt:variant>
      <vt:variant>
        <vt:i4>1114162</vt:i4>
      </vt:variant>
      <vt:variant>
        <vt:i4>2</vt:i4>
      </vt:variant>
      <vt:variant>
        <vt:i4>0</vt:i4>
      </vt:variant>
      <vt:variant>
        <vt:i4>5</vt:i4>
      </vt:variant>
      <vt:variant>
        <vt:lpwstr/>
      </vt:variant>
      <vt:variant>
        <vt:lpwstr>_Toc311732322</vt:lpwstr>
      </vt:variant>
      <vt:variant>
        <vt:i4>7995499</vt:i4>
      </vt:variant>
      <vt:variant>
        <vt:i4>0</vt:i4>
      </vt:variant>
      <vt:variant>
        <vt:i4>0</vt:i4>
      </vt:variant>
      <vt:variant>
        <vt:i4>5</vt:i4>
      </vt:variant>
      <vt:variant>
        <vt:lpwstr>http://www.e-cancer.fr/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COUVERTURE</dc:title>
  <dc:creator>JAGLINE Hélène</dc:creator>
  <cp:lastModifiedBy>JAGLINE Hélène</cp:lastModifiedBy>
  <cp:revision>3</cp:revision>
  <cp:lastPrinted>2011-10-03T15:37:00Z</cp:lastPrinted>
  <dcterms:created xsi:type="dcterms:W3CDTF">2025-02-19T16:17:00Z</dcterms:created>
  <dcterms:modified xsi:type="dcterms:W3CDTF">2025-02-19T16:22:00Z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id="T7XDY1vA"/&gt;&lt;style id="http://www.zotero.org/styles/chicago-author-date" locale="fr-FR" hasBibliography="1" bibliographyStyleHasBeenSet="1"/&gt;&lt;prefs&gt;&lt;pref name="fieldType" value="Field"/&gt;&lt;pref name</vt:lpwstr>
  </property>
  <property fmtid="{D5CDD505-2E9C-101B-9397-08002B2CF9AE}" pid="3" name="ZOTERO_PREF_2">
    <vt:lpwstr>="automaticJournalAbbreviations" value="true"/&gt;&lt;pref name="noteType" value="0"/&gt;&lt;/prefs&gt;&lt;/data&gt;</vt:lpwstr>
  </property>
</Properties>
</file>